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hint="default" w:ascii="Times New Roman" w:hAnsi="Times New Roman" w:cs="Times New Roman"/>
        </w:rPr>
      </w:pPr>
      <w:r>
        <w:rPr>
          <w:rFonts w:hint="default" w:ascii="Times New Roman" w:hAnsi="Times New Roman" w:cs="Times New Roman"/>
        </w:rPr>
        <w:pict>
          <v:shape id="_x0000_s2050" o:spid="_x0000_s2050" o:spt="136" type="#_x0000_t136" style="position:absolute;left:0pt;margin-left:-4.75pt;margin-top:19.35pt;height:48.75pt;width:445.75pt;mso-wrap-distance-bottom:0pt;mso-wrap-distance-left:9pt;mso-wrap-distance-right:9pt;mso-wrap-distance-top:0pt;z-index:251658240;mso-width-relative:page;mso-height-relative:page;" fillcolor="#FF0000" filled="t" stroked="t" coordsize="21600,21600">
            <v:path/>
            <v:fill on="t" focussize="0,0"/>
            <v:stroke color="#FF0000"/>
            <v:imagedata o:title=""/>
            <o:lock v:ext="edit"/>
            <v:textpath on="t" fitshape="t" fitpath="t" trim="t" xscale="f" string="中国计量大学文件" style="font-family:华文中宋;font-size:36pt;v-rotate-letters:f;v-same-letter-heights:f;v-text-align:center;v-text-spacing:78650f;"/>
            <w10:wrap type="square"/>
          </v:shape>
        </w:pict>
      </w:r>
    </w:p>
    <w:p>
      <w:pPr>
        <w:snapToGrid w:val="0"/>
        <w:spacing w:line="560" w:lineRule="exact"/>
        <w:jc w:val="center"/>
        <w:rPr>
          <w:rFonts w:hint="default" w:ascii="Times New Roman" w:hAnsi="Times New Roman" w:cs="Times New Roman" w:eastAsiaTheme="minorEastAsia"/>
          <w:szCs w:val="21"/>
          <w:lang w:eastAsia="zh-CN"/>
        </w:rPr>
      </w:pPr>
      <w:r>
        <w:rPr>
          <w:rFonts w:hint="default" w:ascii="Times New Roman" w:hAnsi="Times New Roman" w:eastAsia="仿宋_GB2312" w:cs="Times New Roman"/>
          <w:sz w:val="32"/>
          <w:szCs w:val="32"/>
          <w:lang w:eastAsia="zh-CN"/>
        </w:rPr>
        <w:t>中量大〔2021〕64号</w:t>
      </w:r>
    </w:p>
    <w:p>
      <w:pPr>
        <w:snapToGrid w:val="0"/>
        <w:spacing w:line="560" w:lineRule="exact"/>
        <w:rPr>
          <w:rFonts w:hint="default" w:ascii="Times New Roman" w:hAnsi="Times New Roman" w:cs="Times New Roman"/>
          <w:color w:val="FF0000"/>
          <w:sz w:val="44"/>
          <w:szCs w:val="44"/>
        </w:rPr>
      </w:pPr>
      <w:r>
        <w:rPr>
          <w:rFonts w:hint="default" w:ascii="Times New Roman" w:hAnsi="Times New Roman" w:cs="Times New Roman"/>
        </w:rPr>
        <w:pict>
          <v:line id="_x0000_s2051" o:spid="_x0000_s2051" o:spt="20" style="position:absolute;left:0pt;margin-left:-12.55pt;margin-top:16.6pt;height:0pt;width:453.55pt;z-index:251659264;mso-width-relative:page;mso-height-relative:page;" filled="f" stroked="t" coordsize="21600,21600">
            <v:path arrowok="t"/>
            <v:fill on="f" focussize="0,0"/>
            <v:stroke weight="3pt" color="#FF0000"/>
            <v:imagedata o:title=""/>
            <o:lock v:ext="edit"/>
          </v:line>
        </w:pict>
      </w:r>
      <w:r>
        <w:rPr>
          <w:rFonts w:hint="default" w:ascii="Times New Roman" w:hAnsi="Times New Roman" w:cs="Times New Roman"/>
        </w:rPr>
        <w:t xml:space="preserve">                                     </w:t>
      </w:r>
    </w:p>
    <w:p>
      <w:pPr>
        <w:snapToGrid w:val="0"/>
        <w:spacing w:line="560" w:lineRule="exact"/>
        <w:jc w:val="right"/>
        <w:rPr>
          <w:rFonts w:hint="default" w:ascii="Times New Roman" w:hAnsi="Times New Roman" w:cs="Times New Roman"/>
          <w:color w:val="FF0000"/>
          <w:sz w:val="44"/>
          <w:szCs w:val="44"/>
        </w:rPr>
      </w:pPr>
      <w:r>
        <w:rPr>
          <w:rFonts w:hint="default" w:ascii="Times New Roman" w:hAnsi="Times New Roman" w:cs="Times New Roman"/>
        </w:rPr>
        <w:t xml:space="preserve">                            </w:t>
      </w:r>
      <w:r>
        <w:rPr>
          <w:rFonts w:hint="default" w:ascii="Times New Roman" w:hAnsi="Times New Roman" w:eastAsia="仿宋_GB2312" w:cs="Times New Roman"/>
          <w:sz w:val="32"/>
          <w:szCs w:val="32"/>
        </w:rPr>
        <w:t xml:space="preserve">  </w:t>
      </w:r>
    </w:p>
    <w:p>
      <w:pPr>
        <w:snapToGrid w:val="0"/>
        <w:spacing w:line="560" w:lineRule="exact"/>
        <w:jc w:val="center"/>
        <w:rPr>
          <w:rFonts w:hint="default" w:ascii="Times New Roman" w:hAnsi="Times New Roman" w:eastAsia="方正小标宋简体" w:cs="Times New Roman"/>
          <w:b w:val="0"/>
          <w:bCs/>
          <w:sz w:val="44"/>
          <w:szCs w:val="32"/>
        </w:rPr>
      </w:pPr>
      <w:r>
        <w:rPr>
          <w:rFonts w:hint="default" w:ascii="Times New Roman" w:hAnsi="Times New Roman" w:eastAsia="方正小标宋简体" w:cs="Times New Roman"/>
          <w:i w:val="0"/>
          <w:iCs w:val="0"/>
          <w:caps w:val="0"/>
          <w:spacing w:val="0"/>
          <w:sz w:val="44"/>
          <w:szCs w:val="44"/>
        </w:rPr>
        <w:t>关于</w:t>
      </w:r>
      <w:r>
        <w:rPr>
          <w:rFonts w:hint="default" w:ascii="Times New Roman" w:hAnsi="Times New Roman" w:eastAsia="方正小标宋简体" w:cs="Times New Roman"/>
          <w:i w:val="0"/>
          <w:iCs w:val="0"/>
          <w:caps w:val="0"/>
          <w:spacing w:val="0"/>
          <w:sz w:val="44"/>
          <w:szCs w:val="44"/>
          <w:lang w:val="en-US" w:eastAsia="zh-CN"/>
        </w:rPr>
        <w:t>印发</w:t>
      </w:r>
      <w:r>
        <w:rPr>
          <w:rFonts w:hint="default" w:ascii="Times New Roman" w:hAnsi="Times New Roman" w:eastAsia="方正小标宋简体" w:cs="Times New Roman"/>
          <w:b w:val="0"/>
          <w:bCs/>
          <w:sz w:val="44"/>
          <w:szCs w:val="32"/>
        </w:rPr>
        <w:t>中国计量大学关于深入推进</w:t>
      </w:r>
    </w:p>
    <w:p>
      <w:pPr>
        <w:snapToGrid w:val="0"/>
        <w:spacing w:line="560" w:lineRule="exact"/>
        <w:jc w:val="center"/>
        <w:rPr>
          <w:rFonts w:hint="default" w:ascii="Times New Roman" w:hAnsi="Times New Roman" w:eastAsia="方正小标宋简体" w:cs="Times New Roman"/>
          <w:i w:val="0"/>
          <w:iCs w:val="0"/>
          <w:caps w:val="0"/>
          <w:spacing w:val="0"/>
          <w:sz w:val="44"/>
          <w:szCs w:val="44"/>
        </w:rPr>
      </w:pPr>
      <w:r>
        <w:rPr>
          <w:rFonts w:hint="default" w:ascii="Times New Roman" w:hAnsi="Times New Roman" w:eastAsia="方正小标宋简体" w:cs="Times New Roman"/>
          <w:b w:val="0"/>
          <w:bCs/>
          <w:sz w:val="44"/>
          <w:szCs w:val="32"/>
        </w:rPr>
        <w:t>课程思政建设的实施方案</w:t>
      </w:r>
      <w:r>
        <w:rPr>
          <w:rFonts w:hint="default" w:ascii="Times New Roman" w:hAnsi="Times New Roman" w:eastAsia="方正小标宋简体" w:cs="Times New Roman"/>
          <w:i w:val="0"/>
          <w:iCs w:val="0"/>
          <w:caps w:val="0"/>
          <w:spacing w:val="0"/>
          <w:sz w:val="44"/>
          <w:szCs w:val="44"/>
        </w:rPr>
        <w:t>的通知</w:t>
      </w:r>
    </w:p>
    <w:p>
      <w:pPr>
        <w:pStyle w:val="6"/>
        <w:keepNext w:val="0"/>
        <w:keepLines w:val="0"/>
        <w:widowControl/>
        <w:suppressLineNumbers w:val="0"/>
        <w:spacing w:before="0" w:beforeAutospacing="0" w:after="0" w:afterAutospacing="0" w:line="560" w:lineRule="exact"/>
        <w:ind w:left="0" w:firstLine="0"/>
        <w:rPr>
          <w:rFonts w:hint="default" w:ascii="Times New Roman" w:hAnsi="Times New Roman" w:eastAsia="仿宋_GB2312" w:cs="Times New Roman"/>
          <w:i w:val="0"/>
          <w:iCs w:val="0"/>
          <w:caps w:val="0"/>
          <w:spacing w:val="0"/>
          <w:kern w:val="2"/>
          <w:sz w:val="32"/>
          <w:szCs w:val="32"/>
          <w:lang w:bidi="ar-SA"/>
        </w:rPr>
      </w:pPr>
    </w:p>
    <w:p>
      <w:pPr>
        <w:pStyle w:val="6"/>
        <w:keepNext w:val="0"/>
        <w:keepLines w:val="0"/>
        <w:pageBreakBefore w:val="0"/>
        <w:widowControl/>
        <w:kinsoku/>
        <w:overflowPunct/>
        <w:topLinePunct w:val="0"/>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i w:val="0"/>
          <w:iCs w:val="0"/>
          <w:caps w:val="0"/>
          <w:spacing w:val="0"/>
          <w:kern w:val="2"/>
          <w:sz w:val="32"/>
          <w:szCs w:val="32"/>
        </w:rPr>
      </w:pPr>
      <w:r>
        <w:rPr>
          <w:rFonts w:hint="default" w:ascii="Times New Roman" w:hAnsi="Times New Roman" w:eastAsia="仿宋_GB2312" w:cs="Times New Roman"/>
          <w:i w:val="0"/>
          <w:iCs w:val="0"/>
          <w:caps w:val="0"/>
          <w:spacing w:val="0"/>
          <w:kern w:val="2"/>
          <w:sz w:val="32"/>
          <w:szCs w:val="32"/>
        </w:rPr>
        <w:t>各党委（党总支），各学院、各部门：</w:t>
      </w:r>
    </w:p>
    <w:p>
      <w:pPr>
        <w:pStyle w:val="6"/>
        <w:keepNext w:val="0"/>
        <w:keepLines w:val="0"/>
        <w:pageBreakBefore w:val="0"/>
        <w:widowControl/>
        <w:kinsoku/>
        <w:overflowPunct/>
        <w:topLinePunct w:val="0"/>
        <w:bidi w:val="0"/>
        <w:adjustRightInd/>
        <w:snapToGrid/>
        <w:spacing w:before="0" w:beforeAutospacing="0" w:after="0" w:afterAutospacing="0" w:line="560" w:lineRule="exact"/>
        <w:ind w:firstLine="640" w:firstLineChars="20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w:t>
      </w:r>
      <w:r>
        <w:rPr>
          <w:rFonts w:hint="default" w:ascii="Times New Roman" w:hAnsi="Times New Roman" w:eastAsia="仿宋_GB2312" w:cs="Times New Roman"/>
          <w:b w:val="0"/>
          <w:bCs w:val="0"/>
          <w:kern w:val="2"/>
          <w:sz w:val="32"/>
          <w:szCs w:val="32"/>
        </w:rPr>
        <w:t>中国计量大学关于深入推进课程思政建设的实施方案</w:t>
      </w:r>
      <w:r>
        <w:rPr>
          <w:rFonts w:hint="default" w:ascii="Times New Roman" w:hAnsi="Times New Roman" w:eastAsia="仿宋_GB2312" w:cs="Times New Roman"/>
          <w:kern w:val="2"/>
          <w:sz w:val="32"/>
          <w:szCs w:val="32"/>
        </w:rPr>
        <w:t>》</w:t>
      </w:r>
      <w:r>
        <w:rPr>
          <w:rFonts w:hint="default" w:ascii="Times New Roman" w:hAnsi="Times New Roman" w:eastAsia="仿宋_GB2312" w:cs="Times New Roman"/>
          <w:i w:val="0"/>
          <w:iCs w:val="0"/>
          <w:caps w:val="0"/>
          <w:spacing w:val="0"/>
          <w:kern w:val="2"/>
          <w:sz w:val="32"/>
          <w:szCs w:val="32"/>
        </w:rPr>
        <w:t>已经</w:t>
      </w:r>
      <w:r>
        <w:rPr>
          <w:rFonts w:hint="default" w:ascii="Times New Roman" w:hAnsi="Times New Roman" w:eastAsia="仿宋_GB2312" w:cs="Times New Roman"/>
          <w:i w:val="0"/>
          <w:iCs w:val="0"/>
          <w:caps w:val="0"/>
          <w:spacing w:val="0"/>
          <w:kern w:val="2"/>
          <w:sz w:val="32"/>
          <w:szCs w:val="32"/>
          <w:lang w:val="en-US" w:eastAsia="zh-CN"/>
        </w:rPr>
        <w:t>校长办公会</w:t>
      </w:r>
      <w:r>
        <w:rPr>
          <w:rFonts w:hint="default" w:ascii="Times New Roman" w:hAnsi="Times New Roman" w:eastAsia="仿宋_GB2312" w:cs="Times New Roman"/>
          <w:i w:val="0"/>
          <w:iCs w:val="0"/>
          <w:caps w:val="0"/>
          <w:spacing w:val="0"/>
          <w:kern w:val="2"/>
          <w:sz w:val="32"/>
          <w:szCs w:val="32"/>
        </w:rPr>
        <w:t>审</w:t>
      </w:r>
      <w:r>
        <w:rPr>
          <w:rFonts w:hint="default" w:ascii="Times New Roman" w:hAnsi="Times New Roman" w:cs="Times New Roman"/>
          <w:i w:val="0"/>
          <w:iCs w:val="0"/>
          <w:caps w:val="0"/>
          <w:spacing w:val="0"/>
          <w:kern w:val="2"/>
          <w:sz w:val="32"/>
          <w:szCs w:val="32"/>
          <w:lang w:eastAsia="zh-CN"/>
        </w:rPr>
        <w:t>定</w:t>
      </w:r>
      <w:r>
        <w:rPr>
          <w:rFonts w:hint="default" w:ascii="Times New Roman" w:hAnsi="Times New Roman" w:eastAsia="仿宋_GB2312" w:cs="Times New Roman"/>
          <w:i w:val="0"/>
          <w:iCs w:val="0"/>
          <w:caps w:val="0"/>
          <w:spacing w:val="0"/>
          <w:kern w:val="2"/>
          <w:sz w:val="32"/>
          <w:szCs w:val="32"/>
        </w:rPr>
        <w:t>，现予以印发实施，请认真贯彻执行。</w:t>
      </w:r>
    </w:p>
    <w:p>
      <w:pPr>
        <w:pStyle w:val="6"/>
        <w:keepNext w:val="0"/>
        <w:keepLines w:val="0"/>
        <w:widowControl/>
        <w:suppressLineNumbers w:val="0"/>
        <w:spacing w:before="0" w:beforeAutospacing="0" w:after="0" w:afterAutospacing="0" w:line="560" w:lineRule="exact"/>
        <w:ind w:left="0" w:firstLine="0" w:firstLineChars="0"/>
        <w:rPr>
          <w:rFonts w:hint="default" w:ascii="Times New Roman" w:hAnsi="Times New Roman" w:eastAsia="仿宋_GB2312" w:cs="Times New Roman"/>
          <w:i w:val="0"/>
          <w:iCs w:val="0"/>
          <w:caps w:val="0"/>
          <w:spacing w:val="0"/>
          <w:kern w:val="2"/>
          <w:sz w:val="32"/>
          <w:szCs w:val="32"/>
          <w:lang w:bidi="ar-SA"/>
        </w:rPr>
      </w:pPr>
    </w:p>
    <w:p>
      <w:pPr>
        <w:pStyle w:val="6"/>
        <w:keepNext w:val="0"/>
        <w:keepLines w:val="0"/>
        <w:widowControl/>
        <w:suppressLineNumbers w:val="0"/>
        <w:spacing w:before="0" w:beforeAutospacing="0" w:after="0" w:afterAutospacing="0" w:line="560" w:lineRule="exact"/>
        <w:ind w:left="0" w:firstLine="0"/>
        <w:jc w:val="left"/>
        <w:rPr>
          <w:rFonts w:hint="default" w:ascii="Times New Roman" w:hAnsi="Times New Roman" w:eastAsia="仿宋_GB2312" w:cs="Times New Roman"/>
          <w:i w:val="0"/>
          <w:iCs w:val="0"/>
          <w:caps w:val="0"/>
          <w:spacing w:val="0"/>
          <w:kern w:val="2"/>
          <w:sz w:val="32"/>
          <w:szCs w:val="32"/>
          <w:lang w:val="en-US" w:eastAsia="zh-CN" w:bidi="ar-SA"/>
        </w:rPr>
      </w:pPr>
      <w:r>
        <w:rPr>
          <w:rFonts w:hint="default" w:ascii="Times New Roman" w:hAnsi="Times New Roman" w:eastAsia="仿宋_GB2312" w:cs="Times New Roman"/>
          <w:i w:val="0"/>
          <w:iCs w:val="0"/>
          <w:caps w:val="0"/>
          <w:spacing w:val="0"/>
          <w:kern w:val="2"/>
          <w:sz w:val="32"/>
          <w:szCs w:val="32"/>
          <w:lang w:val="en-US" w:eastAsia="zh-CN" w:bidi="ar-SA"/>
        </w:rPr>
        <w:t xml:space="preserve">                                        </w:t>
      </w:r>
    </w:p>
    <w:p>
      <w:pPr>
        <w:pStyle w:val="6"/>
        <w:keepNext w:val="0"/>
        <w:keepLines w:val="0"/>
        <w:widowControl/>
        <w:suppressLineNumbers w:val="0"/>
        <w:spacing w:before="0" w:beforeAutospacing="0" w:after="0" w:afterAutospacing="0" w:line="560" w:lineRule="exact"/>
        <w:ind w:left="0" w:firstLine="0"/>
        <w:jc w:val="left"/>
        <w:rPr>
          <w:rFonts w:hint="default" w:ascii="Times New Roman" w:hAnsi="Times New Roman" w:eastAsia="仿宋_GB2312" w:cs="Times New Roman"/>
          <w:i w:val="0"/>
          <w:iCs w:val="0"/>
          <w:caps w:val="0"/>
          <w:spacing w:val="0"/>
          <w:kern w:val="2"/>
          <w:sz w:val="32"/>
          <w:szCs w:val="32"/>
          <w:lang w:bidi="ar-SA"/>
        </w:rPr>
      </w:pPr>
      <w:r>
        <w:rPr>
          <w:rFonts w:hint="default" w:ascii="Times New Roman" w:hAnsi="Times New Roman" w:eastAsia="仿宋_GB2312" w:cs="Times New Roman"/>
          <w:i w:val="0"/>
          <w:iCs w:val="0"/>
          <w:caps w:val="0"/>
          <w:spacing w:val="0"/>
          <w:kern w:val="2"/>
          <w:sz w:val="32"/>
          <w:szCs w:val="32"/>
          <w:lang w:val="en-US" w:eastAsia="zh-CN" w:bidi="ar-SA"/>
        </w:rPr>
        <w:t xml:space="preserve">                                      </w:t>
      </w:r>
      <w:r>
        <w:rPr>
          <w:rFonts w:hint="default" w:ascii="Times New Roman" w:hAnsi="Times New Roman" w:eastAsia="仿宋_GB2312" w:cs="Times New Roman"/>
          <w:i w:val="0"/>
          <w:iCs w:val="0"/>
          <w:caps w:val="0"/>
          <w:spacing w:val="0"/>
          <w:kern w:val="2"/>
          <w:sz w:val="32"/>
          <w:szCs w:val="32"/>
          <w:lang w:eastAsia="zh-CN" w:bidi="ar-SA"/>
        </w:rPr>
        <w:t>中国计量大学</w:t>
      </w:r>
    </w:p>
    <w:p>
      <w:pPr>
        <w:pStyle w:val="6"/>
        <w:keepNext w:val="0"/>
        <w:keepLines w:val="0"/>
        <w:widowControl/>
        <w:suppressLineNumbers w:val="0"/>
        <w:spacing w:before="0" w:beforeAutospacing="0" w:after="0" w:afterAutospacing="0" w:line="560" w:lineRule="exact"/>
        <w:ind w:left="0" w:firstLine="0"/>
        <w:jc w:val="center"/>
        <w:rPr>
          <w:rFonts w:hint="default" w:ascii="Times New Roman" w:hAnsi="Times New Roman" w:eastAsia="仿宋_GB2312" w:cs="Times New Roman"/>
          <w:i w:val="0"/>
          <w:iCs w:val="0"/>
          <w:caps w:val="0"/>
          <w:spacing w:val="0"/>
          <w:kern w:val="2"/>
          <w:sz w:val="32"/>
          <w:szCs w:val="32"/>
          <w:lang w:bidi="ar-SA"/>
        </w:rPr>
      </w:pPr>
      <w:r>
        <w:rPr>
          <w:rFonts w:hint="default" w:ascii="Times New Roman" w:hAnsi="Times New Roman" w:cs="Times New Roman"/>
          <w:i w:val="0"/>
          <w:iCs w:val="0"/>
          <w:caps w:val="0"/>
          <w:spacing w:val="0"/>
          <w:kern w:val="2"/>
          <w:sz w:val="32"/>
          <w:szCs w:val="32"/>
          <w:lang w:val="en-US" w:eastAsia="zh-CN" w:bidi="ar-SA"/>
        </w:rPr>
        <w:t xml:space="preserve">                                  </w:t>
      </w:r>
      <w:r>
        <w:rPr>
          <w:rFonts w:hint="default" w:ascii="Times New Roman" w:hAnsi="Times New Roman" w:eastAsia="仿宋_GB2312" w:cs="Times New Roman"/>
          <w:i w:val="0"/>
          <w:iCs w:val="0"/>
          <w:caps w:val="0"/>
          <w:spacing w:val="0"/>
          <w:kern w:val="2"/>
          <w:sz w:val="32"/>
          <w:szCs w:val="32"/>
          <w:lang w:bidi="ar-SA"/>
        </w:rPr>
        <w:t>20</w:t>
      </w:r>
      <w:r>
        <w:rPr>
          <w:rFonts w:hint="default" w:ascii="Times New Roman" w:hAnsi="Times New Roman" w:eastAsia="仿宋_GB2312" w:cs="Times New Roman"/>
          <w:i w:val="0"/>
          <w:iCs w:val="0"/>
          <w:caps w:val="0"/>
          <w:spacing w:val="0"/>
          <w:kern w:val="2"/>
          <w:sz w:val="32"/>
          <w:szCs w:val="32"/>
          <w:lang w:val="en-US" w:eastAsia="zh-CN" w:bidi="ar-SA"/>
        </w:rPr>
        <w:t>21</w:t>
      </w:r>
      <w:r>
        <w:rPr>
          <w:rFonts w:hint="default" w:ascii="Times New Roman" w:hAnsi="Times New Roman" w:eastAsia="仿宋_GB2312" w:cs="Times New Roman"/>
          <w:i w:val="0"/>
          <w:iCs w:val="0"/>
          <w:caps w:val="0"/>
          <w:spacing w:val="0"/>
          <w:kern w:val="2"/>
          <w:sz w:val="32"/>
          <w:szCs w:val="32"/>
          <w:lang w:bidi="ar-SA"/>
        </w:rPr>
        <w:t>年</w:t>
      </w:r>
      <w:r>
        <w:rPr>
          <w:rFonts w:hint="default" w:ascii="Times New Roman" w:hAnsi="Times New Roman" w:eastAsia="仿宋_GB2312" w:cs="Times New Roman"/>
          <w:i w:val="0"/>
          <w:iCs w:val="0"/>
          <w:caps w:val="0"/>
          <w:spacing w:val="0"/>
          <w:kern w:val="2"/>
          <w:sz w:val="32"/>
          <w:szCs w:val="32"/>
          <w:lang w:val="en-US" w:eastAsia="zh-CN" w:bidi="ar-SA"/>
        </w:rPr>
        <w:t>7</w:t>
      </w:r>
      <w:r>
        <w:rPr>
          <w:rFonts w:hint="default" w:ascii="Times New Roman" w:hAnsi="Times New Roman" w:eastAsia="仿宋_GB2312" w:cs="Times New Roman"/>
          <w:i w:val="0"/>
          <w:iCs w:val="0"/>
          <w:caps w:val="0"/>
          <w:spacing w:val="0"/>
          <w:kern w:val="2"/>
          <w:sz w:val="32"/>
          <w:szCs w:val="32"/>
          <w:lang w:bidi="ar-SA"/>
        </w:rPr>
        <w:t>月</w:t>
      </w:r>
      <w:r>
        <w:rPr>
          <w:rFonts w:hint="eastAsia" w:ascii="Times New Roman" w:hAnsi="Times New Roman" w:cs="Times New Roman"/>
          <w:i w:val="0"/>
          <w:iCs w:val="0"/>
          <w:caps w:val="0"/>
          <w:spacing w:val="0"/>
          <w:kern w:val="2"/>
          <w:sz w:val="32"/>
          <w:szCs w:val="32"/>
          <w:lang w:val="en-US" w:eastAsia="zh-CN" w:bidi="ar-SA"/>
        </w:rPr>
        <w:t>24</w:t>
      </w:r>
      <w:bookmarkStart w:id="1" w:name="_GoBack"/>
      <w:bookmarkEnd w:id="1"/>
      <w:r>
        <w:rPr>
          <w:rFonts w:hint="default" w:ascii="Times New Roman" w:hAnsi="Times New Roman" w:eastAsia="仿宋_GB2312" w:cs="Times New Roman"/>
          <w:i w:val="0"/>
          <w:iCs w:val="0"/>
          <w:caps w:val="0"/>
          <w:spacing w:val="0"/>
          <w:kern w:val="2"/>
          <w:sz w:val="32"/>
          <w:szCs w:val="32"/>
          <w:lang w:bidi="ar-SA"/>
        </w:rPr>
        <w:t>日</w:t>
      </w:r>
    </w:p>
    <w:p>
      <w:pPr>
        <w:snapToGrid w:val="0"/>
        <w:spacing w:line="560" w:lineRule="exact"/>
        <w:jc w:val="center"/>
        <w:rPr>
          <w:rFonts w:hint="default" w:ascii="Times New Roman" w:hAnsi="Times New Roman" w:eastAsia="仿宋_GB2312" w:cs="Times New Roman"/>
          <w:sz w:val="32"/>
          <w:szCs w:val="32"/>
        </w:rPr>
        <w:sectPr>
          <w:footerReference r:id="rId3" w:type="default"/>
          <w:pgSz w:w="11906" w:h="16838"/>
          <w:pgMar w:top="1985" w:right="1531" w:bottom="1701" w:left="1531" w:header="851" w:footer="992" w:gutter="0"/>
          <w:cols w:space="720" w:num="1"/>
          <w:docGrid w:type="lines" w:linePitch="312" w:charSpace="0"/>
        </w:sectPr>
      </w:pPr>
    </w:p>
    <w:p>
      <w:pPr>
        <w:spacing w:line="560" w:lineRule="exact"/>
        <w:jc w:val="center"/>
        <w:rPr>
          <w:rFonts w:hint="default" w:ascii="Times New Roman" w:hAnsi="Times New Roman" w:eastAsia="方正小标宋简体" w:cs="Times New Roman"/>
          <w:b w:val="0"/>
          <w:bCs/>
          <w:sz w:val="44"/>
          <w:szCs w:val="32"/>
        </w:rPr>
      </w:pPr>
      <w:r>
        <w:rPr>
          <w:rFonts w:hint="default" w:ascii="Times New Roman" w:hAnsi="Times New Roman" w:eastAsia="方正小标宋简体" w:cs="Times New Roman"/>
          <w:b w:val="0"/>
          <w:bCs/>
          <w:sz w:val="44"/>
          <w:szCs w:val="32"/>
        </w:rPr>
        <w:t>中国计量大学关于深入推进</w:t>
      </w:r>
    </w:p>
    <w:p>
      <w:pPr>
        <w:spacing w:line="560" w:lineRule="exact"/>
        <w:jc w:val="center"/>
        <w:rPr>
          <w:rFonts w:hint="default" w:ascii="Times New Roman" w:hAnsi="Times New Roman" w:eastAsia="方正小标宋简体" w:cs="Times New Roman"/>
          <w:b w:val="0"/>
          <w:bCs/>
          <w:sz w:val="44"/>
          <w:szCs w:val="32"/>
        </w:rPr>
      </w:pPr>
      <w:r>
        <w:rPr>
          <w:rFonts w:hint="default" w:ascii="Times New Roman" w:hAnsi="Times New Roman" w:eastAsia="方正小标宋简体" w:cs="Times New Roman"/>
          <w:b w:val="0"/>
          <w:bCs/>
          <w:sz w:val="44"/>
          <w:szCs w:val="32"/>
        </w:rPr>
        <w:t>课程思政建设的实施方案</w:t>
      </w:r>
    </w:p>
    <w:p>
      <w:pPr>
        <w:spacing w:line="560" w:lineRule="exact"/>
        <w:rPr>
          <w:rFonts w:hint="default" w:ascii="Times New Roman" w:hAnsi="Times New Roman" w:cs="Times New Roman"/>
        </w:rPr>
      </w:pPr>
    </w:p>
    <w:p>
      <w:pPr>
        <w:widowControl/>
        <w:spacing w:line="560" w:lineRule="exact"/>
        <w:ind w:firstLine="645"/>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为深入学习贯彻习近平总书记关于教育的重要论述和全国教育大会精神，落实教育部《高等学校课程思政建设指导纲要》《浙江省高校课程思政建设实施方案》等文件精神，全面推进课程思政建设，发挥好全校每门课程的育人作用，提高学校人才培养质量，特制定本方案。</w:t>
      </w:r>
    </w:p>
    <w:p>
      <w:pPr>
        <w:widowControl/>
        <w:spacing w:line="560" w:lineRule="exact"/>
        <w:ind w:firstLine="645"/>
        <w:jc w:val="left"/>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一、指导思想</w:t>
      </w:r>
    </w:p>
    <w:p>
      <w:pPr>
        <w:adjustRightInd w:val="0"/>
        <w:snapToGrid w:val="0"/>
        <w:spacing w:line="560" w:lineRule="exact"/>
        <w:ind w:firstLine="640" w:firstLineChars="200"/>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val="0"/>
          <w:bCs/>
          <w:kern w:val="0"/>
          <w:sz w:val="32"/>
          <w:szCs w:val="32"/>
        </w:rPr>
        <w:t>以习近平新时代中国特色社会主义思想为指导，全面贯彻党的教育方针，切实落实立德树人根本任务，深入推进课程思政建设，充分发挥教师队伍“主力军”、课程建设“主战场”、课堂教学“主渠道”作用，把思想政治教育贯穿人才培养全过程，</w:t>
      </w:r>
      <w:r>
        <w:rPr>
          <w:rFonts w:hint="default" w:ascii="Times New Roman" w:hAnsi="Times New Roman" w:eastAsia="仿宋_GB2312" w:cs="Times New Roman"/>
          <w:b w:val="0"/>
          <w:bCs/>
          <w:color w:val="000000"/>
          <w:kern w:val="0"/>
          <w:sz w:val="32"/>
          <w:szCs w:val="32"/>
        </w:rPr>
        <w:t>推进全员全程全方位育人，培养担当民族复兴大任的时代新人。</w:t>
      </w:r>
    </w:p>
    <w:p>
      <w:pPr>
        <w:widowControl/>
        <w:spacing w:line="560" w:lineRule="exact"/>
        <w:ind w:firstLine="645"/>
        <w:jc w:val="left"/>
        <w:rPr>
          <w:rFonts w:hint="default" w:ascii="Times New Roman" w:hAnsi="Times New Roman" w:eastAsia="黑体" w:cs="Times New Roman"/>
          <w:b w:val="0"/>
          <w:bCs/>
          <w:kern w:val="2"/>
          <w:sz w:val="32"/>
          <w:szCs w:val="32"/>
        </w:rPr>
      </w:pPr>
      <w:r>
        <w:rPr>
          <w:rFonts w:hint="default" w:ascii="Times New Roman" w:hAnsi="Times New Roman" w:eastAsia="黑体" w:cs="Times New Roman"/>
          <w:b w:val="0"/>
          <w:bCs/>
          <w:kern w:val="2"/>
          <w:sz w:val="32"/>
          <w:szCs w:val="32"/>
        </w:rPr>
        <w:t>二、总体目标</w:t>
      </w:r>
    </w:p>
    <w:p>
      <w:pPr>
        <w:widowControl/>
        <w:spacing w:line="560" w:lineRule="exact"/>
        <w:ind w:firstLine="645"/>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val="0"/>
          <w:bCs/>
          <w:kern w:val="0"/>
          <w:sz w:val="32"/>
          <w:szCs w:val="32"/>
        </w:rPr>
        <w:t>以全面提升课程质量与育人质量为核心，在全校所有学科专业中构建全面覆盖、类型丰富、层次递进、相互支撑的课程思政体系，促使课程思政的理念形成广泛共识，广大教师开展课程思政建设的意识和能力全面提升，协同推进课程思政建设的体制机制更加健全，立德树人成效进一步提高，形成“院院有精品、门门有思政、人人重育人”的良好育人格局。</w:t>
      </w:r>
    </w:p>
    <w:p>
      <w:pPr>
        <w:widowControl/>
        <w:spacing w:line="560" w:lineRule="exact"/>
        <w:ind w:firstLine="645"/>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val="0"/>
          <w:bCs/>
          <w:kern w:val="0"/>
          <w:sz w:val="32"/>
          <w:szCs w:val="32"/>
        </w:rPr>
        <w:t>至2025年，立项建设100门左右课程思政示范课程，15个左右课程思政示范基层教学组织和团队，设立一批课程思政研究项目，建设一批课程思政优秀案例，充分发挥示范典型的引领作用，全面形成广泛深入开展课程思政建设的良好氛围。</w:t>
      </w:r>
    </w:p>
    <w:p>
      <w:pPr>
        <w:widowControl/>
        <w:spacing w:line="560" w:lineRule="exact"/>
        <w:ind w:firstLine="645"/>
        <w:jc w:val="left"/>
        <w:rPr>
          <w:rFonts w:hint="default" w:ascii="Times New Roman" w:hAnsi="Times New Roman" w:eastAsia="黑体" w:cs="Times New Roman"/>
          <w:b w:val="0"/>
          <w:bCs/>
          <w:kern w:val="2"/>
          <w:sz w:val="32"/>
          <w:szCs w:val="32"/>
        </w:rPr>
      </w:pPr>
      <w:r>
        <w:rPr>
          <w:rFonts w:hint="default" w:ascii="Times New Roman" w:hAnsi="Times New Roman" w:eastAsia="黑体" w:cs="Times New Roman"/>
          <w:b w:val="0"/>
          <w:bCs/>
          <w:kern w:val="2"/>
          <w:sz w:val="32"/>
          <w:szCs w:val="32"/>
        </w:rPr>
        <w:t>三、主要任务</w:t>
      </w:r>
    </w:p>
    <w:p>
      <w:pPr>
        <w:widowControl/>
        <w:spacing w:line="560" w:lineRule="exact"/>
        <w:ind w:firstLine="645"/>
        <w:jc w:val="left"/>
        <w:rPr>
          <w:rFonts w:hint="default" w:ascii="Times New Roman" w:hAnsi="Times New Roman" w:eastAsia="楷体_GB2312" w:cs="Times New Roman"/>
          <w:b/>
          <w:bCs w:val="0"/>
          <w:kern w:val="2"/>
          <w:sz w:val="32"/>
          <w:szCs w:val="32"/>
        </w:rPr>
      </w:pPr>
      <w:r>
        <w:rPr>
          <w:rFonts w:hint="default" w:ascii="Times New Roman" w:hAnsi="Times New Roman" w:eastAsia="楷体_GB2312" w:cs="Times New Roman"/>
          <w:b/>
          <w:bCs w:val="0"/>
          <w:kern w:val="2"/>
          <w:sz w:val="32"/>
          <w:szCs w:val="32"/>
        </w:rPr>
        <w:t>（一）加强课程思政顶层设计</w:t>
      </w:r>
    </w:p>
    <w:p>
      <w:pPr>
        <w:widowControl/>
        <w:tabs>
          <w:tab w:val="left" w:pos="2384"/>
        </w:tabs>
        <w:spacing w:line="560" w:lineRule="exact"/>
        <w:ind w:firstLine="645"/>
        <w:rPr>
          <w:rFonts w:hint="default" w:ascii="Times New Roman" w:hAnsi="Times New Roman" w:eastAsia="仿宋_GB2312" w:cs="Times New Roman"/>
          <w:b w:val="0"/>
          <w:bCs/>
          <w:color w:val="000000"/>
          <w:sz w:val="32"/>
          <w:szCs w:val="32"/>
        </w:rPr>
      </w:pPr>
      <w:r>
        <w:rPr>
          <w:rFonts w:hint="default" w:ascii="Times New Roman" w:hAnsi="Times New Roman" w:eastAsia="仿宋_GB2312" w:cs="Times New Roman"/>
          <w:b w:val="0"/>
          <w:bCs/>
          <w:color w:val="000000"/>
          <w:kern w:val="0"/>
          <w:sz w:val="32"/>
          <w:szCs w:val="32"/>
        </w:rPr>
        <w:t>以专业培养方案为抓手，对标国家对人才培养过程中“立德树人”“三全育人”要求，根据专业培养目标将课程思政内容融入毕业要求，形成课程思政总体规划，明</w:t>
      </w:r>
      <w:r>
        <w:rPr>
          <w:rFonts w:hint="default" w:ascii="Times New Roman" w:hAnsi="Times New Roman" w:eastAsia="仿宋_GB2312" w:cs="Times New Roman"/>
          <w:b w:val="0"/>
          <w:bCs/>
          <w:color w:val="000000"/>
          <w:sz w:val="32"/>
          <w:szCs w:val="32"/>
        </w:rPr>
        <w:t>确专业思政目标的达成路径。</w:t>
      </w:r>
    </w:p>
    <w:p>
      <w:pPr>
        <w:widowControl/>
        <w:tabs>
          <w:tab w:val="left" w:pos="2384"/>
        </w:tabs>
        <w:spacing w:line="560" w:lineRule="exact"/>
        <w:ind w:firstLine="645"/>
        <w:jc w:val="left"/>
        <w:rPr>
          <w:rFonts w:hint="default" w:ascii="Times New Roman" w:hAnsi="Times New Roman" w:eastAsia="仿宋_GB2312" w:cs="Times New Roman"/>
          <w:b w:val="0"/>
          <w:bCs/>
          <w:color w:val="000000"/>
          <w:sz w:val="32"/>
          <w:szCs w:val="32"/>
        </w:rPr>
      </w:pPr>
      <w:r>
        <w:rPr>
          <w:rFonts w:hint="default" w:ascii="Times New Roman" w:hAnsi="Times New Roman" w:eastAsia="仿宋_GB2312" w:cs="Times New Roman"/>
          <w:b w:val="0"/>
          <w:bCs/>
          <w:color w:val="000000"/>
          <w:sz w:val="32"/>
          <w:szCs w:val="32"/>
        </w:rPr>
        <w:t>推动各教学单位深入挖掘所属学科专业发展过程中的思政育人元素，明确每门课程的思政教育目标与内容，将课程思政作为课程设置、教学大纲核准和教案评价的重要内容，落实到课程目标设计、教学大纲修订、教材编审选用、教案课件编写各方面，贯穿于课堂授课、教学研讨、实验实训、作业考试等各环节。</w:t>
      </w:r>
    </w:p>
    <w:p>
      <w:pPr>
        <w:widowControl/>
        <w:spacing w:line="560" w:lineRule="exact"/>
        <w:ind w:firstLine="645"/>
        <w:jc w:val="left"/>
        <w:rPr>
          <w:rFonts w:hint="default" w:ascii="Times New Roman" w:hAnsi="Times New Roman" w:eastAsia="楷体_GB2312" w:cs="Times New Roman"/>
          <w:b/>
          <w:bCs w:val="0"/>
          <w:kern w:val="2"/>
          <w:sz w:val="32"/>
          <w:szCs w:val="32"/>
        </w:rPr>
      </w:pPr>
      <w:r>
        <w:rPr>
          <w:rFonts w:hint="default" w:ascii="Times New Roman" w:hAnsi="Times New Roman" w:eastAsia="楷体_GB2312" w:cs="Times New Roman"/>
          <w:b/>
          <w:bCs w:val="0"/>
          <w:kern w:val="2"/>
          <w:sz w:val="32"/>
          <w:szCs w:val="32"/>
        </w:rPr>
        <w:t>（二）明确课程建设内容重点</w:t>
      </w:r>
    </w:p>
    <w:p>
      <w:pPr>
        <w:widowControl/>
        <w:spacing w:line="560" w:lineRule="exact"/>
        <w:ind w:firstLine="645"/>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val="0"/>
          <w:bCs/>
          <w:kern w:val="0"/>
          <w:sz w:val="32"/>
          <w:szCs w:val="32"/>
        </w:rPr>
        <w:t>课程思政建设内容要紧紧围绕坚定学生理想信念，以爱党、爱国、爱社会主义、爱人民、爱集体为主线，围绕政治认同、家国情怀、文化素养、宪法法治意识、道德修养等重点优化课程思政内容供给，进行中国特色社会主义和中国梦教育、社会主义核心价值观教育、法治教育、劳动教育、心理健康教育、中华优秀传统文化教育。</w:t>
      </w:r>
    </w:p>
    <w:p>
      <w:pPr>
        <w:widowControl/>
        <w:spacing w:line="560" w:lineRule="exact"/>
        <w:ind w:firstLine="645"/>
        <w:jc w:val="left"/>
        <w:rPr>
          <w:rFonts w:hint="default" w:ascii="Times New Roman" w:hAnsi="Times New Roman" w:eastAsia="楷体_GB2312" w:cs="Times New Roman"/>
          <w:b/>
          <w:bCs w:val="0"/>
          <w:kern w:val="2"/>
          <w:sz w:val="32"/>
          <w:szCs w:val="32"/>
        </w:rPr>
      </w:pPr>
      <w:r>
        <w:rPr>
          <w:rFonts w:hint="default" w:ascii="Times New Roman" w:hAnsi="Times New Roman" w:eastAsia="楷体_GB2312" w:cs="Times New Roman"/>
          <w:b/>
          <w:bCs w:val="0"/>
          <w:kern w:val="2"/>
          <w:sz w:val="32"/>
          <w:szCs w:val="32"/>
        </w:rPr>
        <w:t>（三）优化课程思政教学体系</w:t>
      </w:r>
    </w:p>
    <w:p>
      <w:pPr>
        <w:autoSpaceDE w:val="0"/>
        <w:autoSpaceDN w:val="0"/>
        <w:adjustRightInd w:val="0"/>
        <w:spacing w:line="560" w:lineRule="exact"/>
        <w:ind w:firstLine="640" w:firstLineChars="200"/>
        <w:jc w:val="left"/>
        <w:rPr>
          <w:rFonts w:hint="default" w:ascii="Times New Roman" w:hAnsi="Times New Roman" w:eastAsia="仿宋_GB2312" w:cs="Times New Roman"/>
          <w:b w:val="0"/>
          <w:bCs/>
          <w:color w:val="000000"/>
          <w:sz w:val="32"/>
          <w:szCs w:val="32"/>
        </w:rPr>
      </w:pPr>
      <w:r>
        <w:rPr>
          <w:rFonts w:hint="default" w:ascii="Times New Roman" w:hAnsi="Times New Roman" w:eastAsia="仿宋_GB2312" w:cs="Times New Roman"/>
          <w:b w:val="0"/>
          <w:bCs/>
          <w:color w:val="000000"/>
          <w:sz w:val="32"/>
          <w:szCs w:val="32"/>
        </w:rPr>
        <w:t>进一步梳理专业课教学内容，结合不同类型课程特点、思维方法和价值理念，深度挖掘课程思政元素，科学设计具体实施路径，达到如盐入味、润物无声的育人效果。</w:t>
      </w:r>
    </w:p>
    <w:p>
      <w:pPr>
        <w:pStyle w:val="2"/>
        <w:spacing w:before="0" w:line="560" w:lineRule="exact"/>
        <w:ind w:left="0" w:firstLine="643" w:firstLineChars="200"/>
        <w:rPr>
          <w:rFonts w:hint="default" w:ascii="Times New Roman" w:hAnsi="Times New Roman" w:eastAsia="仿宋_GB2312" w:cs="Times New Roman"/>
          <w:b w:val="0"/>
          <w:bCs/>
          <w:color w:val="000000"/>
          <w:kern w:val="2"/>
          <w:lang w:eastAsia="zh-CN"/>
        </w:rPr>
      </w:pPr>
      <w:r>
        <w:rPr>
          <w:rFonts w:hint="default" w:ascii="Times New Roman" w:hAnsi="Times New Roman" w:eastAsia="仿宋_GB2312" w:cs="Times New Roman"/>
          <w:b/>
          <w:bCs w:val="0"/>
          <w:kern w:val="2"/>
          <w:lang w:eastAsia="zh-CN"/>
        </w:rPr>
        <w:t>1.人文艺术类课程。</w:t>
      </w:r>
      <w:r>
        <w:rPr>
          <w:rFonts w:hint="default" w:ascii="Times New Roman" w:hAnsi="Times New Roman" w:eastAsia="仿宋_GB2312" w:cs="Times New Roman"/>
          <w:b w:val="0"/>
          <w:bCs/>
          <w:color w:val="000000"/>
          <w:kern w:val="2"/>
          <w:lang w:eastAsia="zh-CN"/>
        </w:rPr>
        <w:t>在课程教学中帮助学生掌握马克思主义世界观和方法论，结合专业知识教育引导学生深刻理解中华优秀传统文化中讲仁爱、重民本、守诚信、崇正义、尚和合、求大同的思想精华和时代价值；教育引导学生树立正确的艺术观和创作观，坚持以美育人、以美化人，积极弘扬中华美育精神，全面提高学生的审美和人文素养，增强文化自信。</w:t>
      </w:r>
    </w:p>
    <w:p>
      <w:pPr>
        <w:pStyle w:val="2"/>
        <w:spacing w:before="0" w:line="560" w:lineRule="exact"/>
        <w:ind w:left="0" w:firstLine="643" w:firstLineChars="200"/>
        <w:rPr>
          <w:rFonts w:hint="default" w:ascii="Times New Roman" w:hAnsi="Times New Roman" w:eastAsia="仿宋_GB2312" w:cs="Times New Roman"/>
          <w:b w:val="0"/>
          <w:bCs/>
          <w:color w:val="000000"/>
          <w:kern w:val="2"/>
          <w:lang w:eastAsia="zh-CN"/>
        </w:rPr>
      </w:pPr>
      <w:r>
        <w:rPr>
          <w:rFonts w:hint="default" w:ascii="Times New Roman" w:hAnsi="Times New Roman" w:eastAsia="仿宋_GB2312" w:cs="Times New Roman"/>
          <w:b/>
          <w:bCs w:val="0"/>
          <w:kern w:val="2"/>
          <w:lang w:eastAsia="zh-CN"/>
        </w:rPr>
        <w:t>2.社会科学类课程。</w:t>
      </w:r>
      <w:r>
        <w:rPr>
          <w:rFonts w:hint="default" w:ascii="Times New Roman" w:hAnsi="Times New Roman" w:eastAsia="仿宋_GB2312" w:cs="Times New Roman"/>
          <w:b w:val="0"/>
          <w:bCs/>
          <w:color w:val="000000"/>
          <w:kern w:val="2"/>
          <w:lang w:eastAsia="zh-CN"/>
        </w:rPr>
        <w:t>在课程教学中坚持以马克思主义为指导，加快构建中国特色社会科学话语体系，帮助学生了解相关专业和行业领域的国家战略、法律法规和相关政策，引导学生深入社会实践、关注现实问题，培育学生经世济民、诚信服务、德法兼修的职业素养。</w:t>
      </w:r>
    </w:p>
    <w:p>
      <w:pPr>
        <w:pStyle w:val="2"/>
        <w:spacing w:before="0" w:line="560" w:lineRule="exact"/>
        <w:ind w:left="0" w:firstLine="643" w:firstLineChars="200"/>
        <w:rPr>
          <w:rFonts w:hint="default" w:ascii="Times New Roman" w:hAnsi="Times New Roman" w:eastAsia="仿宋_GB2312" w:cs="Times New Roman"/>
          <w:b w:val="0"/>
          <w:bCs/>
          <w:color w:val="000000"/>
          <w:kern w:val="2"/>
          <w:lang w:eastAsia="zh-CN"/>
        </w:rPr>
      </w:pPr>
      <w:r>
        <w:rPr>
          <w:rFonts w:hint="default" w:ascii="Times New Roman" w:hAnsi="Times New Roman" w:eastAsia="仿宋_GB2312" w:cs="Times New Roman"/>
          <w:b/>
          <w:bCs w:val="0"/>
          <w:kern w:val="2"/>
          <w:lang w:eastAsia="zh-CN"/>
        </w:rPr>
        <w:t>3.自然科学类课程。</w:t>
      </w:r>
      <w:r>
        <w:rPr>
          <w:rFonts w:hint="default" w:ascii="Times New Roman" w:hAnsi="Times New Roman" w:eastAsia="仿宋_GB2312" w:cs="Times New Roman"/>
          <w:b w:val="0"/>
          <w:bCs/>
          <w:color w:val="000000"/>
          <w:kern w:val="2"/>
          <w:lang w:eastAsia="zh-CN"/>
        </w:rPr>
        <w:t>在课程教学中把马克思主义立场观点方法的教育与科学精神的培养结合起来，提高学生正确认识问题、分析问题和解决问题的能力，突出科学思维方法的训练和科学伦理的教育，培养学生探索未知、追求真理、勇攀科学高峰的责任感和使命感。</w:t>
      </w:r>
    </w:p>
    <w:p>
      <w:pPr>
        <w:pStyle w:val="2"/>
        <w:spacing w:before="0" w:line="560" w:lineRule="exact"/>
        <w:ind w:left="0" w:firstLine="643" w:firstLineChars="200"/>
        <w:rPr>
          <w:rFonts w:hint="default" w:ascii="Times New Roman" w:hAnsi="Times New Roman" w:eastAsia="仿宋_GB2312" w:cs="Times New Roman"/>
          <w:b w:val="0"/>
          <w:bCs/>
          <w:color w:val="000000"/>
          <w:lang w:eastAsia="zh-CN"/>
        </w:rPr>
      </w:pPr>
      <w:r>
        <w:rPr>
          <w:rFonts w:hint="default" w:ascii="Times New Roman" w:hAnsi="Times New Roman" w:eastAsia="仿宋_GB2312" w:cs="Times New Roman"/>
          <w:b/>
          <w:bCs w:val="0"/>
          <w:kern w:val="2"/>
          <w:lang w:eastAsia="zh-CN"/>
        </w:rPr>
        <w:t>4.工程技术类课程。</w:t>
      </w:r>
      <w:r>
        <w:rPr>
          <w:rFonts w:hint="default" w:ascii="Times New Roman" w:hAnsi="Times New Roman" w:eastAsia="仿宋_GB2312" w:cs="Times New Roman"/>
          <w:b w:val="0"/>
          <w:bCs/>
          <w:color w:val="000000"/>
          <w:lang w:eastAsia="zh-CN"/>
        </w:rPr>
        <w:t>在课程教学中突出</w:t>
      </w:r>
      <w:r>
        <w:rPr>
          <w:rFonts w:hint="default" w:ascii="Times New Roman" w:hAnsi="Times New Roman" w:eastAsia="仿宋_GB2312" w:cs="Times New Roman"/>
          <w:b w:val="0"/>
          <w:bCs/>
          <w:color w:val="000000"/>
          <w:kern w:val="2"/>
          <w:lang w:eastAsia="zh-CN"/>
        </w:rPr>
        <w:t>马克思主义立场观点方法，</w:t>
      </w:r>
      <w:r>
        <w:rPr>
          <w:rFonts w:hint="default" w:ascii="Times New Roman" w:hAnsi="Times New Roman" w:eastAsia="仿宋_GB2312" w:cs="Times New Roman"/>
          <w:b w:val="0"/>
          <w:bCs/>
          <w:spacing w:val="-4"/>
          <w:lang w:eastAsia="zh-CN"/>
        </w:rPr>
        <w:t>注重强化学生工程伦理教育，培养学生</w:t>
      </w:r>
      <w:r>
        <w:rPr>
          <w:rFonts w:hint="default" w:ascii="Times New Roman" w:hAnsi="Times New Roman" w:eastAsia="仿宋_GB2312" w:cs="Times New Roman"/>
          <w:b w:val="0"/>
          <w:bCs/>
          <w:color w:val="000000"/>
          <w:lang w:eastAsia="zh-CN"/>
        </w:rPr>
        <w:t>求真务实、</w:t>
      </w:r>
      <w:r>
        <w:rPr>
          <w:rFonts w:hint="default" w:ascii="Times New Roman" w:hAnsi="Times New Roman" w:eastAsia="仿宋_GB2312" w:cs="Times New Roman"/>
          <w:b w:val="0"/>
          <w:bCs/>
          <w:spacing w:val="-4"/>
          <w:lang w:eastAsia="zh-CN"/>
        </w:rPr>
        <w:t>精益求精的大国工匠精</w:t>
      </w:r>
      <w:r>
        <w:rPr>
          <w:rFonts w:hint="default" w:ascii="Times New Roman" w:hAnsi="Times New Roman" w:eastAsia="仿宋_GB2312" w:cs="Times New Roman"/>
          <w:b w:val="0"/>
          <w:bCs/>
          <w:lang w:eastAsia="zh-CN"/>
        </w:rPr>
        <w:t>神，</w:t>
      </w:r>
      <w:r>
        <w:rPr>
          <w:rFonts w:hint="default" w:ascii="Times New Roman" w:hAnsi="Times New Roman" w:eastAsia="仿宋_GB2312" w:cs="Times New Roman"/>
          <w:b w:val="0"/>
          <w:bCs/>
          <w:color w:val="000000"/>
          <w:lang w:eastAsia="zh-CN"/>
        </w:rPr>
        <w:t>踏实严谨、耐心专注、吃苦耐劳、追求卓越等优秀品质，</w:t>
      </w:r>
      <w:r>
        <w:rPr>
          <w:rFonts w:hint="default" w:ascii="Times New Roman" w:hAnsi="Times New Roman" w:eastAsia="仿宋_GB2312" w:cs="Times New Roman"/>
          <w:b w:val="0"/>
          <w:bCs/>
          <w:lang w:eastAsia="zh-CN"/>
        </w:rPr>
        <w:t>激发学生科技报国的家国情怀和使命担当。</w:t>
      </w:r>
    </w:p>
    <w:p>
      <w:pPr>
        <w:autoSpaceDE w:val="0"/>
        <w:autoSpaceDN w:val="0"/>
        <w:adjustRightInd w:val="0"/>
        <w:spacing w:line="560" w:lineRule="exact"/>
        <w:ind w:firstLine="643" w:firstLineChars="200"/>
        <w:jc w:val="left"/>
        <w:rPr>
          <w:rFonts w:hint="default" w:ascii="Times New Roman" w:hAnsi="Times New Roman" w:eastAsia="仿宋_GB2312" w:cs="Times New Roman"/>
          <w:b w:val="0"/>
          <w:bCs/>
          <w:color w:val="000000"/>
          <w:sz w:val="32"/>
          <w:szCs w:val="32"/>
        </w:rPr>
      </w:pPr>
      <w:r>
        <w:rPr>
          <w:rFonts w:hint="default" w:ascii="Times New Roman" w:hAnsi="Times New Roman" w:eastAsia="仿宋_GB2312" w:cs="Times New Roman"/>
          <w:b/>
          <w:bCs w:val="0"/>
          <w:sz w:val="32"/>
          <w:szCs w:val="32"/>
        </w:rPr>
        <w:t>5</w:t>
      </w:r>
      <w:r>
        <w:rPr>
          <w:rFonts w:hint="default" w:ascii="Times New Roman" w:hAnsi="Times New Roman" w:eastAsia="仿宋_GB2312" w:cs="Times New Roman"/>
          <w:b/>
          <w:bCs w:val="0"/>
          <w:kern w:val="2"/>
          <w:sz w:val="32"/>
          <w:szCs w:val="32"/>
        </w:rPr>
        <w:t>.</w:t>
      </w:r>
      <w:r>
        <w:rPr>
          <w:rFonts w:hint="default" w:ascii="Times New Roman" w:hAnsi="Times New Roman" w:eastAsia="仿宋_GB2312" w:cs="Times New Roman"/>
          <w:b/>
          <w:bCs w:val="0"/>
          <w:sz w:val="32"/>
          <w:szCs w:val="32"/>
        </w:rPr>
        <w:t>实践类课程。</w:t>
      </w:r>
      <w:r>
        <w:rPr>
          <w:rFonts w:hint="default" w:ascii="Times New Roman" w:hAnsi="Times New Roman" w:eastAsia="仿宋_GB2312" w:cs="Times New Roman"/>
          <w:b w:val="0"/>
          <w:bCs/>
          <w:color w:val="000000"/>
          <w:sz w:val="32"/>
          <w:szCs w:val="32"/>
        </w:rPr>
        <w:t>专业实验实践课程，突出培养学思结合、知行统一、勇于探索的创新精神、善于解决问题的实践能力；</w:t>
      </w:r>
      <w:r>
        <w:rPr>
          <w:rFonts w:hint="default" w:ascii="Times New Roman" w:hAnsi="Times New Roman" w:eastAsia="仿宋_GB2312" w:cs="Times New Roman"/>
          <w:b w:val="0"/>
          <w:bCs/>
          <w:spacing w:val="-4"/>
          <w:sz w:val="32"/>
          <w:szCs w:val="32"/>
        </w:rPr>
        <w:t>创新创业教育课程，注重让学生“敢闯会创”，在亲身参与中增强创新精神、创造意识和创业能力；</w:t>
      </w:r>
      <w:r>
        <w:rPr>
          <w:rFonts w:hint="default" w:ascii="Times New Roman" w:hAnsi="Times New Roman" w:eastAsia="仿宋_GB2312" w:cs="Times New Roman"/>
          <w:b w:val="0"/>
          <w:bCs/>
          <w:color w:val="000000"/>
          <w:sz w:val="32"/>
          <w:szCs w:val="32"/>
        </w:rPr>
        <w:t>社会实践课程，注重教育和引导学生弘扬劳动精神，扎根中国大地了解国情民情，在实践中增长智慧才干，在艰苦奋斗中锤炼意志品质。</w:t>
      </w:r>
    </w:p>
    <w:p>
      <w:pPr>
        <w:widowControl/>
        <w:autoSpaceDE w:val="0"/>
        <w:autoSpaceDN w:val="0"/>
        <w:adjustRightInd w:val="0"/>
        <w:spacing w:line="560" w:lineRule="exact"/>
        <w:ind w:firstLine="643" w:firstLineChars="200"/>
        <w:jc w:val="left"/>
        <w:rPr>
          <w:rFonts w:hint="default" w:ascii="Times New Roman" w:hAnsi="Times New Roman" w:eastAsia="楷体_GB2312" w:cs="Times New Roman"/>
          <w:b/>
          <w:bCs w:val="0"/>
          <w:kern w:val="2"/>
          <w:sz w:val="32"/>
          <w:szCs w:val="32"/>
        </w:rPr>
      </w:pPr>
      <w:r>
        <w:rPr>
          <w:rFonts w:hint="default" w:ascii="Times New Roman" w:hAnsi="Times New Roman" w:eastAsia="楷体_GB2312" w:cs="Times New Roman"/>
          <w:b/>
          <w:bCs w:val="0"/>
          <w:kern w:val="2"/>
          <w:sz w:val="32"/>
          <w:szCs w:val="32"/>
        </w:rPr>
        <w:t>（四）提升教师课程思政建设意识和能力</w:t>
      </w:r>
    </w:p>
    <w:p>
      <w:pPr>
        <w:widowControl/>
        <w:tabs>
          <w:tab w:val="left" w:pos="2384"/>
        </w:tabs>
        <w:spacing w:line="560" w:lineRule="exact"/>
        <w:ind w:firstLine="645"/>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val="0"/>
          <w:bCs/>
          <w:kern w:val="0"/>
          <w:sz w:val="32"/>
          <w:szCs w:val="32"/>
        </w:rPr>
        <w:t>通过多种方式引导广大教师树立课程思政理念，以思想引领和价值观塑造为目标，切实做到爱学生、有学问、会传授、做榜样。</w:t>
      </w:r>
    </w:p>
    <w:p>
      <w:pPr>
        <w:widowControl/>
        <w:tabs>
          <w:tab w:val="left" w:pos="2384"/>
        </w:tabs>
        <w:spacing w:line="560" w:lineRule="exact"/>
        <w:ind w:firstLine="645"/>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bCs w:val="0"/>
          <w:sz w:val="32"/>
          <w:szCs w:val="32"/>
        </w:rPr>
        <w:t>1.加强师德师风建设。</w:t>
      </w:r>
      <w:r>
        <w:rPr>
          <w:rFonts w:hint="default" w:ascii="Times New Roman" w:hAnsi="Times New Roman" w:eastAsia="仿宋_GB2312" w:cs="Times New Roman"/>
          <w:b w:val="0"/>
          <w:bCs/>
          <w:kern w:val="0"/>
          <w:sz w:val="32"/>
          <w:szCs w:val="32"/>
        </w:rPr>
        <w:t>明确课程育人职责，引导教师将课程育人理念内化于心、外化于行，积极主动地投入课程思政教育教学改革之中。</w:t>
      </w:r>
    </w:p>
    <w:p>
      <w:pPr>
        <w:widowControl/>
        <w:tabs>
          <w:tab w:val="left" w:pos="2384"/>
        </w:tabs>
        <w:spacing w:line="560" w:lineRule="exact"/>
        <w:ind w:firstLine="645"/>
        <w:jc w:val="left"/>
        <w:rPr>
          <w:rFonts w:hint="default" w:ascii="Times New Roman" w:hAnsi="Times New Roman" w:eastAsia="仿宋_GB2312" w:cs="Times New Roman"/>
          <w:b w:val="0"/>
          <w:bCs/>
          <w:kern w:val="0"/>
          <w:sz w:val="32"/>
          <w:szCs w:val="32"/>
        </w:rPr>
      </w:pPr>
      <w:r>
        <w:rPr>
          <w:rFonts w:hint="default" w:ascii="Times New Roman" w:hAnsi="Times New Roman" w:eastAsia="楷体_GB2312" w:cs="Times New Roman"/>
          <w:b/>
          <w:bCs w:val="0"/>
          <w:sz w:val="32"/>
          <w:szCs w:val="32"/>
        </w:rPr>
        <w:t>2.加强育人能力培训。</w:t>
      </w:r>
      <w:r>
        <w:rPr>
          <w:rFonts w:hint="default" w:ascii="Times New Roman" w:hAnsi="Times New Roman" w:eastAsia="仿宋_GB2312" w:cs="Times New Roman"/>
          <w:b w:val="0"/>
          <w:bCs/>
          <w:kern w:val="0"/>
          <w:sz w:val="32"/>
          <w:szCs w:val="32"/>
        </w:rPr>
        <w:t>充分运用教师岗前培训、教学能力专题培训、专业研讨、政治理论学习等途径，加强马克思主义政治经济学、马克思主义新闻观、中国特色社会主义法制理论、法律职业伦理、工程伦理、劳模精神等培训，不断提升教师课程思政建设能力与教学效果。</w:t>
      </w:r>
    </w:p>
    <w:p>
      <w:pPr>
        <w:widowControl/>
        <w:tabs>
          <w:tab w:val="left" w:pos="2384"/>
        </w:tabs>
        <w:spacing w:line="560" w:lineRule="exact"/>
        <w:ind w:firstLine="645"/>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bCs w:val="0"/>
          <w:sz w:val="32"/>
          <w:szCs w:val="32"/>
        </w:rPr>
        <w:t>3.加强课程思政基层教学组织建设。</w:t>
      </w:r>
      <w:r>
        <w:rPr>
          <w:rFonts w:hint="default" w:ascii="Times New Roman" w:hAnsi="Times New Roman" w:eastAsia="仿宋_GB2312" w:cs="Times New Roman"/>
          <w:b w:val="0"/>
          <w:bCs/>
          <w:kern w:val="0"/>
          <w:sz w:val="32"/>
          <w:szCs w:val="32"/>
        </w:rPr>
        <w:t>充分发挥教研室、教学团队、课程组等基层教学组织作用</w:t>
      </w:r>
      <w:r>
        <w:rPr>
          <w:rFonts w:hint="default" w:ascii="Times New Roman" w:hAnsi="Times New Roman" w:eastAsia="仿宋_GB2312" w:cs="Times New Roman"/>
          <w:b w:val="0"/>
          <w:bCs/>
          <w:kern w:val="0"/>
          <w:sz w:val="32"/>
          <w:szCs w:val="32"/>
          <w:lang w:eastAsia="zh-CN"/>
        </w:rPr>
        <w:t>，</w:t>
      </w:r>
      <w:r>
        <w:rPr>
          <w:rFonts w:hint="default" w:ascii="Times New Roman" w:hAnsi="Times New Roman" w:eastAsia="仿宋_GB2312" w:cs="Times New Roman"/>
          <w:b w:val="0"/>
          <w:bCs/>
          <w:kern w:val="0"/>
          <w:sz w:val="32"/>
          <w:szCs w:val="32"/>
        </w:rPr>
        <w:t>建立课程思政集体教研制度，遴选一批合作关系良好、课程思政建设成效显著的示范基层教学组织。</w:t>
      </w:r>
    </w:p>
    <w:p>
      <w:pPr>
        <w:widowControl/>
        <w:tabs>
          <w:tab w:val="left" w:pos="2384"/>
        </w:tabs>
        <w:spacing w:line="560" w:lineRule="exact"/>
        <w:ind w:firstLine="645"/>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bCs w:val="0"/>
          <w:sz w:val="32"/>
          <w:szCs w:val="32"/>
        </w:rPr>
        <w:t>4.开展课程思政教学名师与教学团队培育。</w:t>
      </w:r>
      <w:r>
        <w:rPr>
          <w:rFonts w:hint="default" w:ascii="Times New Roman" w:hAnsi="Times New Roman" w:eastAsia="仿宋_GB2312" w:cs="Times New Roman"/>
          <w:b w:val="0"/>
          <w:bCs/>
          <w:kern w:val="0"/>
          <w:sz w:val="32"/>
          <w:szCs w:val="32"/>
        </w:rPr>
        <w:t>鼓励支持国家级、省级高层次人才开展课程思政建设；定期举办课程思政教学设计大赛等竞赛活动，做好示范引领与交流推广工作；推动各教学单位应至少培育2-3个课程思政教学团队，并择优推荐参评校级课程思政教学团队。</w:t>
      </w:r>
    </w:p>
    <w:p>
      <w:pPr>
        <w:widowControl/>
        <w:tabs>
          <w:tab w:val="left" w:pos="2384"/>
        </w:tabs>
        <w:spacing w:line="560" w:lineRule="exact"/>
        <w:ind w:firstLine="645"/>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bCs w:val="0"/>
          <w:kern w:val="2"/>
          <w:sz w:val="32"/>
          <w:szCs w:val="32"/>
        </w:rPr>
        <w:t>5.搭建课程思政交流平台。</w:t>
      </w:r>
      <w:r>
        <w:rPr>
          <w:rFonts w:hint="default" w:ascii="Times New Roman" w:hAnsi="Times New Roman" w:eastAsia="仿宋_GB2312" w:cs="Times New Roman"/>
          <w:b w:val="0"/>
          <w:bCs/>
          <w:kern w:val="0"/>
          <w:sz w:val="32"/>
          <w:szCs w:val="32"/>
        </w:rPr>
        <w:t>组建多学科背景互相支撑、良性互动的课程教学团队，建立各类课程教师之间的常态化互动机制，通过教师之间的“同向同行、协同育人”定期交流互动，保障课程之间的“同向同行、协同效应”。</w:t>
      </w:r>
    </w:p>
    <w:p>
      <w:pPr>
        <w:widowControl/>
        <w:tabs>
          <w:tab w:val="left" w:pos="2384"/>
        </w:tabs>
        <w:spacing w:line="560" w:lineRule="exact"/>
        <w:ind w:firstLine="645"/>
        <w:jc w:val="left"/>
        <w:rPr>
          <w:rFonts w:hint="default" w:ascii="Times New Roman" w:hAnsi="Times New Roman" w:eastAsia="楷体_GB2312" w:cs="Times New Roman"/>
          <w:b/>
          <w:bCs w:val="0"/>
          <w:kern w:val="2"/>
          <w:sz w:val="32"/>
          <w:szCs w:val="32"/>
        </w:rPr>
      </w:pPr>
      <w:r>
        <w:rPr>
          <w:rFonts w:hint="default" w:ascii="Times New Roman" w:hAnsi="Times New Roman" w:eastAsia="楷体_GB2312" w:cs="Times New Roman"/>
          <w:b/>
          <w:bCs w:val="0"/>
          <w:kern w:val="2"/>
          <w:sz w:val="32"/>
          <w:szCs w:val="32"/>
        </w:rPr>
        <w:t>（五）推进课程思政资源建设</w:t>
      </w:r>
    </w:p>
    <w:p>
      <w:pPr>
        <w:widowControl/>
        <w:shd w:val="clear" w:color="auto" w:fill="FFFFFF"/>
        <w:spacing w:line="560" w:lineRule="exact"/>
        <w:ind w:firstLine="643" w:firstLineChars="200"/>
        <w:jc w:val="left"/>
        <w:textAlignment w:val="baseline"/>
        <w:rPr>
          <w:rFonts w:hint="default" w:ascii="Times New Roman" w:hAnsi="Times New Roman" w:eastAsia="仿宋_GB2312" w:cs="Times New Roman"/>
          <w:b w:val="0"/>
          <w:bCs/>
          <w:color w:val="000000"/>
          <w:sz w:val="32"/>
          <w:szCs w:val="32"/>
        </w:rPr>
      </w:pPr>
      <w:r>
        <w:rPr>
          <w:rFonts w:hint="default" w:ascii="Times New Roman" w:hAnsi="Times New Roman" w:eastAsia="仿宋_GB2312" w:cs="Times New Roman"/>
          <w:b/>
          <w:bCs w:val="0"/>
          <w:sz w:val="32"/>
          <w:szCs w:val="32"/>
        </w:rPr>
        <w:t>1.打造一批课程思政示范课程。</w:t>
      </w:r>
      <w:r>
        <w:rPr>
          <w:rFonts w:hint="default" w:ascii="Times New Roman" w:hAnsi="Times New Roman" w:eastAsia="仿宋_GB2312" w:cs="Times New Roman"/>
          <w:b w:val="0"/>
          <w:bCs/>
          <w:color w:val="000000"/>
          <w:sz w:val="32"/>
          <w:szCs w:val="32"/>
        </w:rPr>
        <w:t>坚持价值引领与知识传授、能力培养相结合，重点推进与鼓励创新相结合，在深挖育人元素、做好教学设计、明确建设目标任务的基础上，开展校院两级课程思政示范课程的遴选建设工作。学校将结合一流课程建设打造一批校级课程思政示范课程，力争10-15门课程入选省级、国家级课程思政示范课程。各教学单位每年组织开展每个专业不少于3门课程思政的立项建设工作，培育一批院级课程思政示范课程，并由此形成校院两级联动、相互促进的课程思政示范课程建设体系和格局。</w:t>
      </w:r>
    </w:p>
    <w:p>
      <w:pPr>
        <w:widowControl/>
        <w:shd w:val="clear" w:color="auto" w:fill="FFFFFF"/>
        <w:spacing w:line="560" w:lineRule="exact"/>
        <w:ind w:firstLine="643" w:firstLineChars="200"/>
        <w:jc w:val="left"/>
        <w:textAlignment w:val="baseline"/>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bCs w:val="0"/>
          <w:kern w:val="2"/>
          <w:sz w:val="32"/>
          <w:szCs w:val="32"/>
        </w:rPr>
        <w:t>2.建设一批特色优质课程。</w:t>
      </w:r>
      <w:r>
        <w:rPr>
          <w:rFonts w:hint="default" w:ascii="Times New Roman" w:hAnsi="Times New Roman" w:eastAsia="仿宋_GB2312" w:cs="Times New Roman"/>
          <w:b w:val="0"/>
          <w:bCs/>
          <w:kern w:val="0"/>
          <w:sz w:val="32"/>
          <w:szCs w:val="32"/>
        </w:rPr>
        <w:t>整合全校计量、标准、质量、检验检疫等领域的优质师资，加强学校特色课程教学团队建设，建设3-4门充分展示我校办学特色的国家级、省级一流课程，加强特色课程的辐射共享力度建设。</w:t>
      </w:r>
    </w:p>
    <w:p>
      <w:pPr>
        <w:widowControl/>
        <w:spacing w:line="560" w:lineRule="exact"/>
        <w:ind w:firstLine="643" w:firstLineChars="200"/>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bCs w:val="0"/>
          <w:kern w:val="2"/>
          <w:sz w:val="32"/>
          <w:szCs w:val="32"/>
        </w:rPr>
        <w:t>3.遴选一批课程思政优秀案例。</w:t>
      </w:r>
      <w:r>
        <w:rPr>
          <w:rFonts w:hint="default" w:ascii="Times New Roman" w:hAnsi="Times New Roman" w:eastAsia="仿宋_GB2312" w:cs="Times New Roman"/>
          <w:b w:val="0"/>
          <w:bCs/>
          <w:kern w:val="0"/>
          <w:sz w:val="32"/>
          <w:szCs w:val="32"/>
        </w:rPr>
        <w:t>每年遴选100个左右育人效果好、参考性强、推广价值高的典型案例并汇编成册。通过课程思政教学案例遴选，启发交流</w:t>
      </w:r>
      <w:r>
        <w:rPr>
          <w:rFonts w:hint="default" w:ascii="Times New Roman" w:hAnsi="Times New Roman" w:eastAsia="仿宋_GB2312" w:cs="Times New Roman"/>
          <w:b w:val="0"/>
          <w:bCs/>
          <w:sz w:val="32"/>
          <w:szCs w:val="32"/>
        </w:rPr>
        <w:t>专业类课程实现知识传授与价值引领有机融合的方式方法，</w:t>
      </w:r>
      <w:r>
        <w:rPr>
          <w:rFonts w:hint="default" w:ascii="Times New Roman" w:hAnsi="Times New Roman" w:eastAsia="仿宋_GB2312" w:cs="Times New Roman"/>
          <w:b w:val="0"/>
          <w:bCs/>
          <w:kern w:val="0"/>
          <w:sz w:val="32"/>
          <w:szCs w:val="32"/>
        </w:rPr>
        <w:t>为提升课程育人效果提供参考借鉴，为进一步扎实推进课程思政建设积累素材。</w:t>
      </w:r>
    </w:p>
    <w:p>
      <w:pPr>
        <w:widowControl/>
        <w:spacing w:line="560" w:lineRule="exact"/>
        <w:ind w:firstLine="643" w:firstLineChars="200"/>
        <w:jc w:val="left"/>
        <w:rPr>
          <w:rFonts w:hint="default" w:ascii="Times New Roman" w:hAnsi="Times New Roman" w:eastAsia="楷体_GB2312" w:cs="Times New Roman"/>
          <w:b/>
          <w:bCs w:val="0"/>
          <w:kern w:val="2"/>
          <w:sz w:val="32"/>
          <w:szCs w:val="32"/>
        </w:rPr>
      </w:pPr>
      <w:r>
        <w:rPr>
          <w:rFonts w:hint="default" w:ascii="Times New Roman" w:hAnsi="Times New Roman" w:eastAsia="楷体_GB2312" w:cs="Times New Roman"/>
          <w:b/>
          <w:bCs w:val="0"/>
          <w:kern w:val="2"/>
          <w:sz w:val="32"/>
          <w:szCs w:val="32"/>
        </w:rPr>
        <w:t>（六）加强课程思政教学研究</w:t>
      </w:r>
    </w:p>
    <w:p>
      <w:pPr>
        <w:widowControl/>
        <w:shd w:val="clear" w:color="auto" w:fill="FFFFFF"/>
        <w:spacing w:line="560" w:lineRule="exact"/>
        <w:ind w:firstLine="624" w:firstLineChars="200"/>
        <w:jc w:val="left"/>
        <w:textAlignment w:val="baseline"/>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val="0"/>
          <w:bCs/>
          <w:spacing w:val="-4"/>
          <w:kern w:val="0"/>
          <w:sz w:val="32"/>
          <w:szCs w:val="32"/>
        </w:rPr>
        <w:t>加快课程思政教学研究中心建设，力争建成省级及以上示范研究中心。</w:t>
      </w:r>
      <w:r>
        <w:rPr>
          <w:rFonts w:hint="default" w:ascii="Times New Roman" w:hAnsi="Times New Roman" w:eastAsia="仿宋_GB2312" w:cs="Times New Roman"/>
          <w:b w:val="0"/>
          <w:bCs/>
          <w:kern w:val="0"/>
          <w:sz w:val="32"/>
          <w:szCs w:val="32"/>
        </w:rPr>
        <w:t>根据学校办学定位和学科专业特点，加强课程思政建设的重点、难点和前瞻性问题的教学改革研究。围绕课程思政建设内涵、建设标准、评价体系、课堂教学、实践教学、教师育人能力提升、学生综合素养提升等关键问题进行选题，鼓励和支持广大教师开展多种形式的课程思政研究与实践</w:t>
      </w:r>
      <w:r>
        <w:rPr>
          <w:rFonts w:hint="default" w:ascii="Times New Roman" w:hAnsi="Times New Roman" w:eastAsia="仿宋_GB2312" w:cs="Times New Roman"/>
          <w:b w:val="0"/>
          <w:bCs/>
          <w:kern w:val="0"/>
          <w:sz w:val="32"/>
          <w:szCs w:val="32"/>
          <w:lang w:eastAsia="zh-CN"/>
        </w:rPr>
        <w:t>，</w:t>
      </w:r>
      <w:r>
        <w:rPr>
          <w:rFonts w:hint="default" w:ascii="Times New Roman" w:hAnsi="Times New Roman" w:eastAsia="仿宋_GB2312" w:cs="Times New Roman"/>
          <w:b w:val="0"/>
          <w:bCs/>
          <w:kern w:val="0"/>
          <w:sz w:val="32"/>
          <w:szCs w:val="32"/>
        </w:rPr>
        <w:t>在产生一批成果的基础上加大对成果的示范辐射效应。推进现代信息技术在课程思政教学中的应用，激发学生学习兴趣，引导学生深入思考。</w:t>
      </w:r>
    </w:p>
    <w:p>
      <w:pPr>
        <w:widowControl/>
        <w:tabs>
          <w:tab w:val="left" w:pos="6985"/>
        </w:tabs>
        <w:spacing w:line="560" w:lineRule="exact"/>
        <w:ind w:firstLine="640" w:firstLineChars="200"/>
        <w:jc w:val="left"/>
        <w:rPr>
          <w:rFonts w:hint="default" w:ascii="Times New Roman" w:hAnsi="Times New Roman" w:eastAsia="黑体" w:cs="Times New Roman"/>
          <w:b w:val="0"/>
          <w:bCs/>
          <w:kern w:val="2"/>
          <w:sz w:val="32"/>
          <w:szCs w:val="32"/>
          <w:lang w:eastAsia="zh-CN"/>
        </w:rPr>
      </w:pPr>
      <w:r>
        <w:rPr>
          <w:rFonts w:hint="default" w:ascii="Times New Roman" w:hAnsi="Times New Roman" w:eastAsia="黑体" w:cs="Times New Roman"/>
          <w:b w:val="0"/>
          <w:bCs/>
          <w:kern w:val="2"/>
          <w:sz w:val="32"/>
          <w:szCs w:val="32"/>
        </w:rPr>
        <w:t>四、保障措施</w:t>
      </w:r>
      <w:r>
        <w:rPr>
          <w:rFonts w:hint="default" w:ascii="Times New Roman" w:hAnsi="Times New Roman" w:eastAsia="黑体" w:cs="Times New Roman"/>
          <w:b w:val="0"/>
          <w:bCs/>
          <w:kern w:val="2"/>
          <w:sz w:val="32"/>
          <w:szCs w:val="32"/>
          <w:lang w:eastAsia="zh-CN"/>
        </w:rPr>
        <w:tab/>
      </w:r>
    </w:p>
    <w:p>
      <w:pPr>
        <w:widowControl/>
        <w:spacing w:line="560" w:lineRule="exact"/>
        <w:ind w:firstLine="643" w:firstLineChars="200"/>
        <w:jc w:val="left"/>
        <w:rPr>
          <w:rFonts w:hint="default" w:ascii="Times New Roman" w:hAnsi="Times New Roman" w:eastAsia="楷体_GB2312" w:cs="Times New Roman"/>
          <w:b/>
          <w:bCs w:val="0"/>
          <w:kern w:val="2"/>
          <w:sz w:val="32"/>
          <w:szCs w:val="32"/>
        </w:rPr>
      </w:pPr>
      <w:r>
        <w:rPr>
          <w:rFonts w:hint="default" w:ascii="Times New Roman" w:hAnsi="Times New Roman" w:eastAsia="楷体_GB2312" w:cs="Times New Roman"/>
          <w:b/>
          <w:bCs w:val="0"/>
          <w:kern w:val="2"/>
          <w:sz w:val="32"/>
          <w:szCs w:val="32"/>
        </w:rPr>
        <w:t>（一）加强协同联动</w:t>
      </w:r>
    </w:p>
    <w:p>
      <w:pPr>
        <w:widowControl/>
        <w:spacing w:line="560" w:lineRule="exact"/>
        <w:ind w:firstLine="645"/>
        <w:jc w:val="left"/>
        <w:rPr>
          <w:rFonts w:hint="default" w:ascii="Times New Roman" w:hAnsi="Times New Roman" w:eastAsia="仿宋_GB2312" w:cs="Times New Roman"/>
          <w:b w:val="0"/>
          <w:bCs/>
          <w:color w:val="000000"/>
          <w:kern w:val="0"/>
          <w:sz w:val="32"/>
          <w:szCs w:val="32"/>
        </w:rPr>
      </w:pPr>
      <w:r>
        <w:rPr>
          <w:rFonts w:hint="default" w:ascii="Times New Roman" w:hAnsi="Times New Roman" w:eastAsia="仿宋_GB2312" w:cs="Times New Roman"/>
          <w:b w:val="0"/>
          <w:bCs/>
          <w:kern w:val="0"/>
          <w:sz w:val="32"/>
          <w:szCs w:val="32"/>
        </w:rPr>
        <w:t>完善“党委统一领导、党政齐抓共管、教务牵头抓总、相关职能部门联动、学院落实推进”的协同管理机制，加强马克思主义学院与其他教学单位的协同联动，</w:t>
      </w:r>
      <w:r>
        <w:rPr>
          <w:rFonts w:hint="default" w:ascii="Times New Roman" w:hAnsi="Times New Roman" w:eastAsia="仿宋_GB2312" w:cs="Times New Roman"/>
          <w:b w:val="0"/>
          <w:bCs/>
          <w:color w:val="000000"/>
          <w:kern w:val="0"/>
          <w:sz w:val="32"/>
          <w:szCs w:val="32"/>
        </w:rPr>
        <w:t>明确职责，协同合作，定期开展调研和专项研讨，研究提出具体政策和措施。各教学单位进一步发挥好基层教学组织、</w:t>
      </w:r>
      <w:r>
        <w:rPr>
          <w:rFonts w:hint="default" w:ascii="Times New Roman" w:hAnsi="Times New Roman" w:eastAsia="仿宋_GB2312" w:cs="Times New Roman"/>
          <w:b w:val="0"/>
          <w:bCs/>
          <w:kern w:val="0"/>
          <w:sz w:val="32"/>
          <w:szCs w:val="32"/>
        </w:rPr>
        <w:t>教工党支部在课程思政建设中的推动作用</w:t>
      </w:r>
      <w:r>
        <w:rPr>
          <w:rFonts w:hint="default" w:ascii="Times New Roman" w:hAnsi="Times New Roman" w:eastAsia="仿宋_GB2312" w:cs="Times New Roman"/>
          <w:b w:val="0"/>
          <w:bCs/>
          <w:color w:val="000000"/>
          <w:kern w:val="0"/>
          <w:sz w:val="32"/>
          <w:szCs w:val="32"/>
        </w:rPr>
        <w:t>，建立相应的工作组织和分工联动机制，确保课程思政工作落到实处。</w:t>
      </w:r>
    </w:p>
    <w:p>
      <w:pPr>
        <w:widowControl/>
        <w:spacing w:line="560" w:lineRule="exact"/>
        <w:ind w:firstLine="643" w:firstLineChars="200"/>
        <w:jc w:val="left"/>
        <w:rPr>
          <w:rFonts w:hint="default" w:ascii="Times New Roman" w:hAnsi="Times New Roman" w:eastAsia="楷体_GB2312" w:cs="Times New Roman"/>
          <w:b/>
          <w:bCs w:val="0"/>
          <w:kern w:val="2"/>
          <w:sz w:val="32"/>
          <w:szCs w:val="32"/>
        </w:rPr>
      </w:pPr>
      <w:r>
        <w:rPr>
          <w:rFonts w:hint="default" w:ascii="Times New Roman" w:hAnsi="Times New Roman" w:eastAsia="楷体_GB2312" w:cs="Times New Roman"/>
          <w:b/>
          <w:bCs w:val="0"/>
          <w:kern w:val="2"/>
          <w:sz w:val="32"/>
          <w:szCs w:val="32"/>
        </w:rPr>
        <w:t>（二）健全评价机制</w:t>
      </w:r>
    </w:p>
    <w:p>
      <w:pPr>
        <w:widowControl/>
        <w:spacing w:line="560" w:lineRule="exact"/>
        <w:ind w:firstLine="645"/>
        <w:jc w:val="left"/>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val="0"/>
          <w:bCs/>
          <w:kern w:val="0"/>
          <w:sz w:val="32"/>
          <w:szCs w:val="32"/>
        </w:rPr>
        <w:t>强化所有课程的育人功能，在人才培养方案、课程教学大纲等重要教学文件的制订审定中，考量“价值引领、知识传授和能力培养”同步提升的实现度。完善以“课程思政”为导向的教学质量评价体系，注重从教学设计、教学过程和目标实现等将“价值引领”等思政元素充分有效纳入知识传授和能力培养全过程，并作为重要监测指标纳入学生评教、督导评课、专家听课、教学竞赛，以及一流课程、一流专业等项目立项与专项检查中。</w:t>
      </w:r>
    </w:p>
    <w:p>
      <w:pPr>
        <w:widowControl/>
        <w:spacing w:line="560" w:lineRule="exact"/>
        <w:ind w:firstLine="643" w:firstLineChars="200"/>
        <w:jc w:val="left"/>
        <w:rPr>
          <w:rFonts w:hint="default" w:ascii="Times New Roman" w:hAnsi="Times New Roman" w:eastAsia="楷体_GB2312" w:cs="Times New Roman"/>
          <w:b/>
          <w:bCs w:val="0"/>
          <w:kern w:val="2"/>
          <w:sz w:val="32"/>
          <w:szCs w:val="32"/>
        </w:rPr>
      </w:pPr>
      <w:r>
        <w:rPr>
          <w:rFonts w:hint="default" w:ascii="Times New Roman" w:hAnsi="Times New Roman" w:eastAsia="楷体_GB2312" w:cs="Times New Roman"/>
          <w:b/>
          <w:bCs w:val="0"/>
          <w:kern w:val="2"/>
          <w:sz w:val="32"/>
          <w:szCs w:val="32"/>
        </w:rPr>
        <w:t>（三）强化考核激励</w:t>
      </w:r>
    </w:p>
    <w:p>
      <w:pPr>
        <w:widowControl/>
        <w:spacing w:line="560" w:lineRule="exact"/>
        <w:ind w:firstLine="645"/>
        <w:jc w:val="left"/>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kern w:val="0"/>
          <w:sz w:val="32"/>
          <w:szCs w:val="32"/>
        </w:rPr>
        <w:t>建立校院两级教学检查和督导联动机制，加强对各教学单位课程思政建设及实施成效的常态化、动态化考评。强化学院主体责任，将课程思政建设成效作为各教学单位年度工作考核的重要指标，同时纳入学院党建和党政一把手年终述职范围。把教师参与课程思政建设情况和教学效果作为教师考核评价、岗位聘用、评优奖励、选拔培训等的重要内容。</w:t>
      </w:r>
      <w:r>
        <w:rPr>
          <w:rFonts w:hint="default" w:ascii="Times New Roman" w:hAnsi="Times New Roman" w:eastAsia="仿宋_GB2312" w:cs="Times New Roman"/>
          <w:b w:val="0"/>
          <w:bCs/>
          <w:sz w:val="32"/>
          <w:szCs w:val="32"/>
        </w:rPr>
        <w:t>在教学成果奖、教材奖、各类教学单项奖、优秀教师等评优评先中，突出课程思政要求，加大对课程思政建设优秀成果的支持力度。对通过年度检查的各类课程思政项目按照同级一流课程、教改项目给予教学工作业绩奖励。</w:t>
      </w:r>
    </w:p>
    <w:p>
      <w:pPr>
        <w:widowControl/>
        <w:spacing w:line="560" w:lineRule="exact"/>
        <w:ind w:firstLine="643" w:firstLineChars="200"/>
        <w:jc w:val="left"/>
        <w:rPr>
          <w:rFonts w:hint="default" w:ascii="Times New Roman" w:hAnsi="Times New Roman" w:eastAsia="楷体_GB2312" w:cs="Times New Roman"/>
          <w:b/>
          <w:bCs w:val="0"/>
          <w:kern w:val="2"/>
          <w:sz w:val="32"/>
          <w:szCs w:val="32"/>
        </w:rPr>
      </w:pPr>
      <w:r>
        <w:rPr>
          <w:rFonts w:hint="default" w:ascii="Times New Roman" w:hAnsi="Times New Roman" w:eastAsia="楷体_GB2312" w:cs="Times New Roman"/>
          <w:b/>
          <w:bCs w:val="0"/>
          <w:kern w:val="2"/>
          <w:sz w:val="32"/>
          <w:szCs w:val="32"/>
        </w:rPr>
        <w:t>（四）加大经费支持</w:t>
      </w:r>
    </w:p>
    <w:p>
      <w:pPr>
        <w:autoSpaceDE w:val="0"/>
        <w:autoSpaceDN w:val="0"/>
        <w:adjustRightInd w:val="0"/>
        <w:spacing w:line="560" w:lineRule="exact"/>
        <w:ind w:firstLine="640" w:firstLineChars="200"/>
        <w:jc w:val="left"/>
        <w:rPr>
          <w:rFonts w:hint="default" w:ascii="Times New Roman" w:hAnsi="Times New Roman" w:eastAsia="仿宋_GB2312" w:cs="Times New Roman"/>
          <w:b w:val="0"/>
          <w:bCs/>
          <w:color w:val="000000"/>
          <w:kern w:val="0"/>
          <w:sz w:val="32"/>
          <w:szCs w:val="32"/>
        </w:rPr>
      </w:pPr>
      <w:r>
        <w:rPr>
          <w:rFonts w:hint="default" w:ascii="Times New Roman" w:hAnsi="Times New Roman" w:eastAsia="仿宋_GB2312" w:cs="Times New Roman"/>
          <w:b w:val="0"/>
          <w:bCs/>
          <w:color w:val="000000"/>
          <w:kern w:val="0"/>
          <w:sz w:val="32"/>
          <w:szCs w:val="32"/>
        </w:rPr>
        <w:t>学校设立专项经费保障课程思政教学改革稳步推进。通过项目形式对课程思政工作提供资助，并根据年度考核结果实施动态管理，确保专项建设项目顺利实施。鼓励各教学单位设立专项经费，保障和激励课程思政工作推进有力。</w:t>
      </w:r>
    </w:p>
    <w:p>
      <w:pPr>
        <w:widowControl/>
        <w:numPr>
          <w:ilvl w:val="0"/>
          <w:numId w:val="1"/>
        </w:numPr>
        <w:spacing w:line="560" w:lineRule="exact"/>
        <w:ind w:firstLine="640" w:firstLineChars="200"/>
        <w:jc w:val="left"/>
        <w:rPr>
          <w:rFonts w:hint="default" w:ascii="Times New Roman" w:hAnsi="Times New Roman" w:eastAsia="黑体" w:cs="Times New Roman"/>
          <w:b w:val="0"/>
          <w:bCs/>
          <w:kern w:val="2"/>
          <w:sz w:val="32"/>
          <w:szCs w:val="32"/>
        </w:rPr>
      </w:pPr>
      <w:r>
        <w:rPr>
          <w:rFonts w:hint="default" w:ascii="Times New Roman" w:hAnsi="Times New Roman" w:eastAsia="黑体" w:cs="Times New Roman"/>
          <w:b w:val="0"/>
          <w:bCs/>
          <w:kern w:val="2"/>
          <w:sz w:val="32"/>
          <w:szCs w:val="32"/>
        </w:rPr>
        <w:t>本实施方案自发布之日起施行。</w:t>
      </w: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widowControl/>
        <w:numPr>
          <w:ilvl w:val="0"/>
          <w:numId w:val="0"/>
        </w:numPr>
        <w:spacing w:line="560" w:lineRule="exact"/>
        <w:jc w:val="left"/>
        <w:rPr>
          <w:rFonts w:hint="default" w:ascii="Times New Roman" w:hAnsi="Times New Roman" w:eastAsia="黑体" w:cs="Times New Roman"/>
          <w:b w:val="0"/>
          <w:bCs/>
          <w:kern w:val="2"/>
          <w:sz w:val="32"/>
          <w:szCs w:val="32"/>
        </w:rPr>
      </w:pPr>
    </w:p>
    <w:p>
      <w:pPr>
        <w:snapToGrid w:val="0"/>
        <w:spacing w:line="560" w:lineRule="exact"/>
        <w:jc w:val="left"/>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sz w:val="32"/>
          <w:szCs w:val="32"/>
        </w:rPr>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371475</wp:posOffset>
                </wp:positionV>
                <wp:extent cx="5619750" cy="0"/>
                <wp:effectExtent l="0" t="0" r="0" b="0"/>
                <wp:wrapNone/>
                <wp:docPr id="1" name="直接箭头连接符 1"/>
                <wp:cNvGraphicFramePr/>
                <a:graphic xmlns:a="http://schemas.openxmlformats.org/drawingml/2006/main">
                  <a:graphicData uri="http://schemas.microsoft.com/office/word/2010/wordprocessingShape">
                    <wps:wsp>
                      <wps:cNvCnPr/>
                      <wps:spPr>
                        <a:xfrm>
                          <a:off x="0" y="0"/>
                          <a:ext cx="56197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5pt;margin-top:29.25pt;height:0pt;width:442.5pt;z-index:251662336;mso-width-relative:page;mso-height-relative:page;" filled="f" stroked="t" coordsize="21600,21600" o:gfxdata="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KP/Z9YAAAAIAQAA&#10;DwAAAAAAAAABACAAAAAiAAAAZHJzL2Rvd25yZXYueG1sUEsBAhQAFAAAAAgAh07iQCJmzV/iAQAA&#10;ngMAAA4AAAAAAAAAAQAgAAAAJQEAAGRycy9lMm9Eb2MueG1sUEsFBgAAAAAGAAYAWQEAAHkFAAAA&#10;AA==&#10;">
                <v:fill on="f" focussize="0,0"/>
                <v:stroke color="#000000" joinstyle="round"/>
                <v:imagedata o:title=""/>
                <o:lock v:ext="edit" aspectratio="f"/>
              </v:shape>
            </w:pict>
          </mc:Fallback>
        </mc:AlternateContent>
      </w:r>
      <w:bookmarkStart w:id="0" w:name="cs"/>
      <w:bookmarkEnd w:id="0"/>
    </w:p>
    <w:p>
      <w:pPr>
        <w:snapToGrid w:val="0"/>
        <w:spacing w:line="560" w:lineRule="exact"/>
        <w:ind w:firstLine="280" w:firstLineChars="100"/>
        <w:jc w:val="left"/>
        <w:rPr>
          <w:rFonts w:hint="default" w:ascii="Times New Roman" w:hAnsi="Times New Roman" w:eastAsia="黑体" w:cs="Times New Roman"/>
          <w:sz w:val="28"/>
          <w:szCs w:val="28"/>
        </w:rPr>
      </w:pPr>
      <w:r>
        <w:rPr>
          <w:rFonts w:hint="default" w:ascii="Times New Roman" w:hAnsi="Times New Roman" w:eastAsia="仿宋_GB2312"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394335</wp:posOffset>
                </wp:positionV>
                <wp:extent cx="5619750" cy="0"/>
                <wp:effectExtent l="0" t="0" r="0" b="0"/>
                <wp:wrapNone/>
                <wp:docPr id="2" name="直接箭头连接符 2"/>
                <wp:cNvGraphicFramePr/>
                <a:graphic xmlns:a="http://schemas.openxmlformats.org/drawingml/2006/main">
                  <a:graphicData uri="http://schemas.microsoft.com/office/word/2010/wordprocessingShape">
                    <wps:wsp>
                      <wps:cNvCnPr/>
                      <wps:spPr>
                        <a:xfrm>
                          <a:off x="0" y="0"/>
                          <a:ext cx="56197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5pt;margin-top:31.05pt;height:0pt;width:442.5pt;z-index:251663360;mso-width-relative:page;mso-height-relative:page;" filled="f" stroked="t" coordsize="21600,21600" o:gfxdata="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ZRE9HWAAAACAEA&#10;AA8AAAAAAAAAAQAgAAAAIgAAAGRycy9kb3ducmV2LnhtbFBLAQIUABQAAAAIAIdO4kDPWVko4wEA&#10;AJ4DAAAOAAAAAAAAAAEAIAAAACUBAABkcnMvZTJvRG9jLnhtbFBLBQYAAAAABgAGAFkBAAB6BQAA&#10;AAA=&#10;">
                <v:fill on="f" focussize="0,0"/>
                <v:stroke color="#000000" joinstyle="round"/>
                <v:imagedata o:title=""/>
                <o:lock v:ext="edit" aspectratio="f"/>
              </v:shape>
            </w:pict>
          </mc:Fallback>
        </mc:AlternateContent>
      </w:r>
      <w:r>
        <w:rPr>
          <w:rFonts w:hint="default" w:ascii="Times New Roman" w:hAnsi="Times New Roman" w:eastAsia="仿宋_GB2312" w:cs="Times New Roman"/>
          <w:sz w:val="28"/>
          <w:szCs w:val="28"/>
        </w:rPr>
        <w:t>中国计量大学办公室</w:t>
      </w:r>
      <w:r>
        <w:rPr>
          <w:rFonts w:hint="default" w:ascii="Times New Roman" w:hAnsi="Times New Roman" w:eastAsia="黑体" w:cs="Times New Roman"/>
          <w:sz w:val="28"/>
          <w:szCs w:val="28"/>
        </w:rPr>
        <w:t xml:space="preserve">  </w:t>
      </w:r>
      <w:r>
        <w:rPr>
          <w:rFonts w:hint="default" w:ascii="Times New Roman" w:hAnsi="Times New Roman" w:eastAsia="黑体" w:cs="Times New Roman"/>
          <w:sz w:val="28"/>
          <w:szCs w:val="28"/>
          <w:lang w:val="en-US" w:eastAsia="zh-CN"/>
        </w:rPr>
        <w:t xml:space="preserve">                  </w:t>
      </w:r>
      <w:r>
        <w:rPr>
          <w:rFonts w:hint="default" w:ascii="Times New Roman" w:hAnsi="Times New Roman" w:eastAsia="仿宋_GB2312" w:cs="Times New Roman"/>
          <w:sz w:val="28"/>
          <w:szCs w:val="28"/>
          <w:lang w:eastAsia="zh-CN"/>
        </w:rPr>
        <w:t>2021年7月31日</w:t>
      </w:r>
      <w:r>
        <w:rPr>
          <w:rFonts w:hint="default" w:ascii="Times New Roman" w:hAnsi="Times New Roman" w:eastAsia="仿宋_GB2312" w:cs="Times New Roman"/>
          <w:sz w:val="28"/>
          <w:szCs w:val="28"/>
        </w:rPr>
        <w:t>印发</w:t>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eastAsiaTheme="minorEastAsia"/>
                              <w:lang w:val="en-US" w:eastAsia="zh-CN"/>
                            </w:rPr>
                          </w:pPr>
                          <w:r>
                            <w:rPr>
                              <w:rFonts w:hint="eastAsia"/>
                              <w:lang w:eastAsia="zh-CN"/>
                            </w:rPr>
                            <w:t>—</w:t>
                          </w:r>
                          <w:r>
                            <w:rPr>
                              <w:rFonts w:hint="eastAsia"/>
                              <w:lang w:val="en-US"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4"/>
                      <w:rPr>
                        <w:rFonts w:hint="default" w:eastAsiaTheme="minorEastAsia"/>
                        <w:lang w:val="en-US" w:eastAsia="zh-CN"/>
                      </w:rPr>
                    </w:pPr>
                    <w:r>
                      <w:rPr>
                        <w:rFonts w:hint="eastAsia"/>
                        <w:lang w:eastAsia="zh-CN"/>
                      </w:rPr>
                      <w:t>—</w:t>
                    </w:r>
                    <w:r>
                      <w:rPr>
                        <w:rFonts w:hint="eastAsia"/>
                        <w:lang w:val="en-US"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val="en-US" w:eastAsia="zh-CN"/>
                      </w:rPr>
                      <w:t xml:space="preserve"> —</w:t>
                    </w:r>
                  </w:p>
                </w:txbxContent>
              </v:textbox>
            </v:shape>
          </w:pict>
        </mc:Fallback>
      </mc:AlternateContent>
    </w:r>
    <w:sdt>
      <w:sdtPr>
        <w:id w:val="-1537185175"/>
        <w:docPartObj>
          <w:docPartGallery w:val="autotext"/>
        </w:docPartObj>
      </w:sdtPr>
      <w:sdtContent>
        <w:sdt>
          <w:sdtPr>
            <w:id w:val="-1669238322"/>
            <w:showingPlcHdr/>
            <w:docPartObj>
              <w:docPartGallery w:val="autotext"/>
            </w:docPartObj>
          </w:sdtPr>
          <w:sdtContent/>
        </w:sdt>
      </w:sdtContent>
    </w:sdt>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271863"/>
    <w:multiLevelType w:val="singleLevel"/>
    <w:tmpl w:val="32271863"/>
    <w:lvl w:ilvl="0" w:tentative="0">
      <w:start w:val="5"/>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2050" textRotate="1"/>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694565-2AA1-4EDB-B7D0-2F179D14091A}">
  <ds:schemaRefs/>
</ds:datastoreItem>
</file>